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CBFDC" w14:textId="19E7A34C" w:rsidR="001F460B" w:rsidRPr="00FA2813" w:rsidRDefault="00FA2813" w:rsidP="002925AF">
      <w:pPr>
        <w:jc w:val="center"/>
        <w:rPr>
          <w:b/>
        </w:rPr>
      </w:pPr>
      <w:r>
        <w:rPr>
          <w:b/>
        </w:rPr>
        <w:t>Johannes Guten</w:t>
      </w:r>
      <w:r w:rsidR="003E701F" w:rsidRPr="00FA2813">
        <w:rPr>
          <w:b/>
        </w:rPr>
        <w:t>berg</w:t>
      </w:r>
      <w:r w:rsidR="002925AF">
        <w:rPr>
          <w:b/>
        </w:rPr>
        <w:t xml:space="preserve"> (</w:t>
      </w:r>
      <w:r w:rsidR="00FE0806">
        <w:rPr>
          <w:b/>
        </w:rPr>
        <w:t>1400-1468</w:t>
      </w:r>
      <w:r w:rsidR="002925AF">
        <w:rPr>
          <w:b/>
        </w:rPr>
        <w:t>)</w:t>
      </w:r>
      <w:r w:rsidR="003E701F" w:rsidRPr="00FA2813">
        <w:rPr>
          <w:b/>
        </w:rPr>
        <w:t>, orfèvre à Mayence</w:t>
      </w:r>
      <w:r w:rsidR="00FE0806">
        <w:rPr>
          <w:b/>
        </w:rPr>
        <w:t xml:space="preserve"> </w:t>
      </w:r>
      <w:r w:rsidR="00FE0806">
        <w:rPr>
          <w:rStyle w:val="Marquenotebasdepage"/>
          <w:b/>
        </w:rPr>
        <w:footnoteReference w:id="1"/>
      </w:r>
    </w:p>
    <w:p w14:paraId="44594332" w14:textId="77777777" w:rsidR="003E701F" w:rsidRDefault="003E701F"/>
    <w:p w14:paraId="2F73A198" w14:textId="77777777" w:rsidR="003E701F" w:rsidRDefault="003E701F" w:rsidP="00FA2813">
      <w:pPr>
        <w:ind w:firstLine="567"/>
      </w:pPr>
      <w:r>
        <w:t xml:space="preserve">Au Moyen-Âge, dans les monastères et les ateliers des « libraires », les copistes réalisaient de véritables chefs-d’œuvre. Sur des parchemins d’une grande finesse, ils transcrivaient des textes enrichis de miniatures peintes et d’enluminures aux vives couleurs. Recouverts d’une épaisse reliure de cuir, ces manuscrits trouvaient ensuite place dans les bibliothèques des abbayes, ou dans celles d’amateurs fortunés, seuls capables de payer le prix de ces somptueux ouvrages. Rares et chers, fabriqués à l’unité, réservés à quelques privilégiés, les livres ne pouvaient suffire à la demande de ceux qui avaient appris à lire et que dévoraient la soif d’apprendre, de comprendre, de découvrir. Les étudiants des universités devaient se contenter de manuscrits, de mauvaise qualité, copiés à la hâte, parsemés de fautes de transcriptions. Les savants, les professeurs, les érudits étaient souvent contraints de se déplacer de ville en ville, de monastère en monastère, à la recherche d’œuvres qui, parfois, n’existaient qu’en quelques exemplaires. </w:t>
      </w:r>
    </w:p>
    <w:p w14:paraId="020B0230" w14:textId="77777777" w:rsidR="003E701F" w:rsidRDefault="003E701F" w:rsidP="00FA2813">
      <w:pPr>
        <w:ind w:firstLine="567"/>
      </w:pPr>
    </w:p>
    <w:p w14:paraId="7B5FA73A" w14:textId="77777777" w:rsidR="003E701F" w:rsidRPr="00FA2813" w:rsidRDefault="003E701F" w:rsidP="00F40136">
      <w:pPr>
        <w:rPr>
          <w:u w:val="single"/>
        </w:rPr>
      </w:pPr>
      <w:r w:rsidRPr="00FA2813">
        <w:rPr>
          <w:u w:val="single"/>
        </w:rPr>
        <w:t>Le papier et le bois gravé</w:t>
      </w:r>
    </w:p>
    <w:p w14:paraId="1F9F5A54" w14:textId="77777777" w:rsidR="003E701F" w:rsidRDefault="003E701F" w:rsidP="00FA2813">
      <w:pPr>
        <w:ind w:firstLine="567"/>
      </w:pPr>
    </w:p>
    <w:p w14:paraId="3F591578" w14:textId="77777777" w:rsidR="00FA2813" w:rsidRDefault="003E701F" w:rsidP="00FA2813">
      <w:pPr>
        <w:ind w:firstLine="567"/>
      </w:pPr>
      <w:r>
        <w:t>Pourtant, à la fin du Moyen-Âge, des progrès apparaissent dans la reproduction des textes et des images. Il y eut d’abord l’invention du papier. Mis au point en Chine dès le II</w:t>
      </w:r>
      <w:r w:rsidRPr="003E701F">
        <w:rPr>
          <w:vertAlign w:val="superscript"/>
        </w:rPr>
        <w:t>e</w:t>
      </w:r>
      <w:r>
        <w:t xml:space="preserve"> siècle </w:t>
      </w:r>
      <w:r w:rsidR="00651B6E">
        <w:t xml:space="preserve">de notre ère, son industrie se développe en Occident des siècles plus tard. Plus fin, plus blanc, moins cher que le parchemin (obtenu à partir de peaux animales tannées), le papier est produit en grandes quantités grâce aux  moulins à eau actionnant des marteaux qui broient les chiffons de lin et de chanvre nécessaires à sa fabrication. </w:t>
      </w:r>
    </w:p>
    <w:p w14:paraId="579964F9" w14:textId="77777777" w:rsidR="003E701F" w:rsidRDefault="00651B6E" w:rsidP="00FA2813">
      <w:pPr>
        <w:ind w:firstLine="567"/>
      </w:pPr>
      <w:r>
        <w:t xml:space="preserve">Parallèlement se répand la technique de la xylographie qui permet d’imprimer sur une feuille de papier textes et dessins gravés sur une plaque de bois que l’on induit d’encre. Mais le procédé est médiocre, le bois est un support fragile, il s’use rapidement, se déforme et tout texte ou dessin nouveau nécessite une nouvelle gravure. </w:t>
      </w:r>
    </w:p>
    <w:p w14:paraId="32C39021" w14:textId="77777777" w:rsidR="00FA2813" w:rsidRDefault="00FA2813" w:rsidP="00FA2813">
      <w:pPr>
        <w:ind w:firstLine="567"/>
      </w:pPr>
    </w:p>
    <w:p w14:paraId="137D1C81" w14:textId="77777777" w:rsidR="00FA2813" w:rsidRDefault="00FA2813" w:rsidP="00FA2813">
      <w:pPr>
        <w:ind w:firstLine="567"/>
      </w:pPr>
      <w:r>
        <w:t xml:space="preserve">Partout, à Bâle, en Avignon, en Hollande, des artisans cherchent une nouvelle méthode d’impression. À Mayence, riche cité des bords du Rhin, le banquier Johannes Fust soutient de ses deniers les travaux de Peter Schoeffer, copiste et calligraphe, et de Johannes Gensfleisch sur Laden, surnommé Gutenberg. </w:t>
      </w:r>
    </w:p>
    <w:p w14:paraId="41BB4486" w14:textId="7CEC272C" w:rsidR="00841056" w:rsidRDefault="00841056" w:rsidP="00FA2813">
      <w:pPr>
        <w:ind w:firstLine="567"/>
      </w:pPr>
      <w:r>
        <w:t xml:space="preserve">Cet orfèvre, d’origine noble, très cultivé, s’est fait connaître comme fabricant de miroirs  mais c’est la gloire qui l’attend lorsqu’il a l’idée de fabriquer des caractères mobiles en métal que l’on peut déplacer et réutiliser à l’infini pour imprimer des pages, ensuite reliées pour former des livres. </w:t>
      </w:r>
      <w:r w:rsidR="00527351">
        <w:t xml:space="preserve">Après de nombreux essais infructueux, Schoeffer et Gutenberg découvrent que le meilleur matériau pour fabriquer les caractères mobiles est un alliage de plomb, d’étain et d’antimoine. </w:t>
      </w:r>
    </w:p>
    <w:p w14:paraId="3E1A587B" w14:textId="081CB268" w:rsidR="00841056" w:rsidRDefault="00841056" w:rsidP="00FA2813">
      <w:pPr>
        <w:ind w:firstLine="567"/>
      </w:pPr>
      <w:r>
        <w:t xml:space="preserve">La seconde idée de génie de Gutenberg est l’utilisation d’une presse, inspirée des pressoirs à vin des vignerons du Rhin. Elle permet d’appuyer fortement chaque feuille de papier sur la « forme » d’où se détachent les caractères placés ligne à ligne et enduits d’une encre grasse faite d’un mélange de noir de fumée, de térébenthine et d’huile de noix. </w:t>
      </w:r>
    </w:p>
    <w:p w14:paraId="25AE2081" w14:textId="77777777" w:rsidR="00F40136" w:rsidRDefault="00F40136" w:rsidP="00FA2813">
      <w:pPr>
        <w:ind w:firstLine="567"/>
      </w:pPr>
    </w:p>
    <w:p w14:paraId="0AA7B1A8" w14:textId="77777777" w:rsidR="00527351" w:rsidRDefault="00527351" w:rsidP="00F40136">
      <w:pPr>
        <w:rPr>
          <w:u w:val="single"/>
        </w:rPr>
      </w:pPr>
    </w:p>
    <w:p w14:paraId="2706A5FC" w14:textId="77777777" w:rsidR="00527351" w:rsidRDefault="00527351" w:rsidP="00F40136">
      <w:pPr>
        <w:rPr>
          <w:u w:val="single"/>
        </w:rPr>
      </w:pPr>
    </w:p>
    <w:p w14:paraId="2421A904" w14:textId="66F5CD4D" w:rsidR="00F40136" w:rsidRPr="00F40136" w:rsidRDefault="00F40136" w:rsidP="00F40136">
      <w:pPr>
        <w:rPr>
          <w:u w:val="single"/>
        </w:rPr>
      </w:pPr>
      <w:r w:rsidRPr="00F40136">
        <w:rPr>
          <w:u w:val="single"/>
        </w:rPr>
        <w:lastRenderedPageBreak/>
        <w:t>La Bible à 42 lignes</w:t>
      </w:r>
    </w:p>
    <w:p w14:paraId="7ED1F83B" w14:textId="77777777" w:rsidR="00F40136" w:rsidRDefault="00F40136" w:rsidP="00FA2813">
      <w:pPr>
        <w:ind w:firstLine="567"/>
      </w:pPr>
    </w:p>
    <w:p w14:paraId="582CF9E6" w14:textId="6FB4F3D1" w:rsidR="00F40136" w:rsidRDefault="00754B61" w:rsidP="00FA2813">
      <w:pPr>
        <w:ind w:firstLine="567"/>
      </w:pPr>
      <w:r>
        <w:t xml:space="preserve">En 1456, l’atelier de Gutenberg achève l’impression d’une Bible en trois volumes. d’une très haute qualité technique, elle est dite « à quarante-deux lignes » et ses caractères reproduisent fidèlement l’écriture gothique alors en usage en Allemagne. </w:t>
      </w:r>
    </w:p>
    <w:p w14:paraId="48EAB880" w14:textId="269BEA42" w:rsidR="00754B61" w:rsidRDefault="00754B61" w:rsidP="00FA2813">
      <w:pPr>
        <w:ind w:firstLine="567"/>
      </w:pPr>
      <w:r>
        <w:t>Un an plus tard, sort de presse « le psautier de Mayence », œuvre de Johannes Fust et Peter Schoeffer. Le nom de Gutenberg, exclu de l’atelier par ses compagnons, ne figure plus sur l’ouvrage mais la postérité lui a rendu justice en l’immortalisant comme l’inventeur de l’imprimerie.</w:t>
      </w:r>
    </w:p>
    <w:p w14:paraId="5C118158" w14:textId="77777777" w:rsidR="00754B61" w:rsidRDefault="00754B61" w:rsidP="00FA2813">
      <w:pPr>
        <w:ind w:firstLine="567"/>
      </w:pPr>
    </w:p>
    <w:p w14:paraId="46769EEC" w14:textId="313D8648" w:rsidR="00754B61" w:rsidRDefault="00754B61" w:rsidP="00FA2813">
      <w:pPr>
        <w:ind w:firstLine="567"/>
      </w:pPr>
      <w:r>
        <w:t xml:space="preserve">En quelques années, la nouvelle technique gagne toute l’Europe. Des presses fonctionnent à Strasbourg, Paris, Anvers, Lyon, Madrid. À Rome, au monastère de Subiaco, des imprimeurs inventent le caractère romain, d’autres, à Venise, inventent l’italique. En 1480, des imprimeurs sont établis dans des dizaines de villes. La production de livres est considérable. Près de 20 millions d’exemplaires, les incunables, sont imprimés de 1457 à 1500. Pour tout le siècle suivant, on estime leur nombre à 200 millions, sans compter les placards, les plaquettes et les feuilles volantes. </w:t>
      </w:r>
    </w:p>
    <w:p w14:paraId="5ECB1DA7" w14:textId="59BC6A9A" w:rsidR="00754B61" w:rsidRDefault="00754B61" w:rsidP="00FA2813">
      <w:pPr>
        <w:ind w:firstLine="567"/>
      </w:pPr>
      <w:r>
        <w:t>En quelques années, le prix du livre imprimé, déjà inférieur des deux tiers à celui du livre manuscrit, diminue encore. Il devient accessible à beaucoup de ceux qui savent lire. L’imprimerie permet ainsi de produire des millions de petits ouvrages qui reflètent la culture populaire et que proposent des colporteurs allant de ville en ville, de village en village. Ils vendent des almanachs, des romans de chevalerie, des vies de saints, des images pieuses, des contes, des farces, des chansons.</w:t>
      </w:r>
    </w:p>
    <w:p w14:paraId="58BC9CAF" w14:textId="56D3B8BE" w:rsidR="00651B6E" w:rsidRDefault="00841056" w:rsidP="00841056">
      <w:pPr>
        <w:tabs>
          <w:tab w:val="left" w:pos="7987"/>
        </w:tabs>
      </w:pPr>
      <w:r>
        <w:tab/>
      </w:r>
    </w:p>
    <w:p w14:paraId="081B9CF5" w14:textId="214DBC2E" w:rsidR="00E801B0" w:rsidRPr="00E801B0" w:rsidRDefault="00E801B0" w:rsidP="00E801B0">
      <w:pPr>
        <w:pBdr>
          <w:top w:val="single" w:sz="4" w:space="1" w:color="auto"/>
          <w:left w:val="single" w:sz="4" w:space="4" w:color="auto"/>
          <w:bottom w:val="single" w:sz="4" w:space="1" w:color="auto"/>
          <w:right w:val="single" w:sz="4" w:space="4" w:color="auto"/>
        </w:pBdr>
        <w:shd w:val="clear" w:color="auto" w:fill="FFFFFF"/>
        <w:spacing w:before="120" w:after="120"/>
        <w:rPr>
          <w:rFonts w:ascii="Helvetica" w:eastAsiaTheme="minorEastAsia" w:hAnsi="Helvetica" w:cs="Times New Roman"/>
          <w:b/>
          <w:color w:val="222222"/>
          <w:sz w:val="22"/>
          <w:szCs w:val="22"/>
          <w:lang w:val="fr-CH" w:eastAsia="fr-FR"/>
        </w:rPr>
      </w:pPr>
      <w:r w:rsidRPr="00E801B0">
        <w:rPr>
          <w:rFonts w:ascii="Helvetica" w:eastAsiaTheme="minorEastAsia" w:hAnsi="Helvetica" w:cs="Times New Roman"/>
          <w:b/>
          <w:color w:val="222222"/>
          <w:sz w:val="22"/>
          <w:szCs w:val="22"/>
          <w:lang w:val="fr-CH" w:eastAsia="fr-FR"/>
        </w:rPr>
        <w:t>Le travail de l’imprimeur</w:t>
      </w:r>
      <w:r>
        <w:rPr>
          <w:rFonts w:ascii="Helvetica" w:eastAsiaTheme="minorEastAsia" w:hAnsi="Helvetica" w:cs="Times New Roman"/>
          <w:b/>
          <w:color w:val="222222"/>
          <w:sz w:val="22"/>
          <w:szCs w:val="22"/>
          <w:lang w:val="fr-CH" w:eastAsia="fr-FR"/>
        </w:rPr>
        <w:t xml:space="preserve"> (tiré de </w:t>
      </w:r>
      <w:r w:rsidRPr="00E801B0">
        <w:rPr>
          <w:rFonts w:ascii="Helvetica" w:eastAsiaTheme="minorEastAsia" w:hAnsi="Helvetica" w:cs="Times New Roman"/>
          <w:b/>
          <w:i/>
          <w:color w:val="222222"/>
          <w:sz w:val="22"/>
          <w:szCs w:val="22"/>
          <w:lang w:val="fr-CH" w:eastAsia="fr-FR"/>
        </w:rPr>
        <w:t>Wikipédia</w:t>
      </w:r>
      <w:r>
        <w:rPr>
          <w:rFonts w:ascii="Helvetica" w:eastAsiaTheme="minorEastAsia" w:hAnsi="Helvetica" w:cs="Times New Roman"/>
          <w:b/>
          <w:color w:val="222222"/>
          <w:sz w:val="22"/>
          <w:szCs w:val="22"/>
          <w:lang w:val="fr-CH" w:eastAsia="fr-FR"/>
        </w:rPr>
        <w:t>, article « caractère »)</w:t>
      </w:r>
    </w:p>
    <w:p w14:paraId="09A73824" w14:textId="5DFB2DDF" w:rsidR="00E801B0" w:rsidRPr="00E801B0" w:rsidRDefault="00E801B0" w:rsidP="00E801B0">
      <w:pPr>
        <w:pBdr>
          <w:top w:val="single" w:sz="4" w:space="1" w:color="auto"/>
          <w:left w:val="single" w:sz="4" w:space="4" w:color="auto"/>
          <w:bottom w:val="single" w:sz="4" w:space="1" w:color="auto"/>
          <w:right w:val="single" w:sz="4" w:space="4" w:color="auto"/>
        </w:pBdr>
        <w:shd w:val="clear" w:color="auto" w:fill="FFFFFF"/>
        <w:spacing w:before="120" w:after="120"/>
        <w:rPr>
          <w:rFonts w:eastAsia="Times New Roman" w:cs="Times New Roman"/>
          <w:sz w:val="22"/>
          <w:szCs w:val="22"/>
          <w:lang w:val="fr-CH" w:eastAsia="fr-FR"/>
        </w:rPr>
      </w:pPr>
      <w:r w:rsidRPr="00E801B0">
        <w:rPr>
          <w:rFonts w:eastAsiaTheme="minorEastAsia" w:cs="Times New Roman"/>
          <w:sz w:val="22"/>
          <w:szCs w:val="22"/>
          <w:lang w:val="fr-CH" w:eastAsia="fr-FR"/>
        </w:rPr>
        <w:t>Les différents caractères mobiles étaient rangés dans un grand tiroir en bois, la </w:t>
      </w:r>
      <w:hyperlink r:id="rId8" w:tooltip="Casse (typographie)" w:history="1">
        <w:r w:rsidRPr="00E801B0">
          <w:rPr>
            <w:rFonts w:eastAsiaTheme="minorEastAsia" w:cs="Times New Roman"/>
            <w:sz w:val="22"/>
            <w:szCs w:val="22"/>
            <w:lang w:val="fr-CH" w:eastAsia="fr-FR"/>
          </w:rPr>
          <w:t>casse</w:t>
        </w:r>
      </w:hyperlink>
      <w:r w:rsidRPr="00E801B0">
        <w:rPr>
          <w:rFonts w:eastAsiaTheme="minorEastAsia" w:cs="Times New Roman"/>
          <w:sz w:val="22"/>
          <w:szCs w:val="22"/>
          <w:lang w:val="fr-CH" w:eastAsia="fr-FR"/>
        </w:rPr>
        <w:t xml:space="preserve">. </w:t>
      </w:r>
    </w:p>
    <w:p w14:paraId="6F2160AB" w14:textId="77777777" w:rsidR="00E801B0" w:rsidRPr="00E801B0" w:rsidRDefault="00E801B0" w:rsidP="00E801B0">
      <w:pPr>
        <w:pBdr>
          <w:top w:val="single" w:sz="4" w:space="1" w:color="auto"/>
          <w:left w:val="single" w:sz="4" w:space="4" w:color="auto"/>
          <w:bottom w:val="single" w:sz="4" w:space="1" w:color="auto"/>
          <w:right w:val="single" w:sz="4" w:space="4" w:color="auto"/>
        </w:pBdr>
        <w:shd w:val="clear" w:color="auto" w:fill="FFFFFF"/>
        <w:spacing w:before="120" w:after="120"/>
        <w:rPr>
          <w:rFonts w:eastAsiaTheme="minorEastAsia" w:cs="Times New Roman"/>
          <w:sz w:val="22"/>
          <w:szCs w:val="22"/>
          <w:lang w:val="fr-CH" w:eastAsia="fr-FR"/>
        </w:rPr>
      </w:pPr>
      <w:r w:rsidRPr="00E801B0">
        <w:rPr>
          <w:rFonts w:eastAsiaTheme="minorEastAsia" w:cs="Times New Roman"/>
          <w:sz w:val="22"/>
          <w:szCs w:val="22"/>
          <w:lang w:val="fr-CH" w:eastAsia="fr-FR"/>
        </w:rPr>
        <w:t>Le typographe composait ses textes ligne par ligne en disposant les caractères mobiles de gauche à droite, mais tête en bas, dans un </w:t>
      </w:r>
      <w:hyperlink r:id="rId9" w:tooltip="Composteur (imprimerie)" w:history="1">
        <w:r w:rsidRPr="00E801B0">
          <w:rPr>
            <w:rFonts w:eastAsiaTheme="minorEastAsia" w:cs="Times New Roman"/>
            <w:sz w:val="22"/>
            <w:szCs w:val="22"/>
            <w:lang w:val="fr-CH" w:eastAsia="fr-FR"/>
          </w:rPr>
          <w:t>composteur</w:t>
        </w:r>
      </w:hyperlink>
      <w:r w:rsidRPr="00E801B0">
        <w:rPr>
          <w:rFonts w:eastAsiaTheme="minorEastAsia" w:cs="Times New Roman"/>
          <w:sz w:val="22"/>
          <w:szCs w:val="22"/>
          <w:lang w:val="fr-CH" w:eastAsia="fr-FR"/>
        </w:rPr>
        <w:t> permettant de respecter la </w:t>
      </w:r>
      <w:hyperlink r:id="rId10" w:tooltip="Justification (typographie)" w:history="1">
        <w:r w:rsidRPr="00E801B0">
          <w:rPr>
            <w:rFonts w:eastAsiaTheme="minorEastAsia" w:cs="Times New Roman"/>
            <w:sz w:val="22"/>
            <w:szCs w:val="22"/>
            <w:lang w:val="fr-CH" w:eastAsia="fr-FR"/>
          </w:rPr>
          <w:t>justification</w:t>
        </w:r>
      </w:hyperlink>
      <w:r w:rsidRPr="00E801B0">
        <w:rPr>
          <w:rFonts w:eastAsiaTheme="minorEastAsia" w:cs="Times New Roman"/>
          <w:sz w:val="22"/>
          <w:szCs w:val="22"/>
          <w:lang w:val="fr-CH" w:eastAsia="fr-FR"/>
        </w:rPr>
        <w:t> (la largeur définie pour la ligne de texte). Pour atteindre cette justification, il devait répartir judicieusement les </w:t>
      </w:r>
      <w:hyperlink r:id="rId11" w:tooltip="Espace (typographie)" w:history="1">
        <w:r w:rsidRPr="00E801B0">
          <w:rPr>
            <w:rFonts w:eastAsiaTheme="minorEastAsia" w:cs="Times New Roman"/>
            <w:sz w:val="22"/>
            <w:szCs w:val="22"/>
            <w:lang w:val="fr-CH" w:eastAsia="fr-FR"/>
          </w:rPr>
          <w:t>espaces</w:t>
        </w:r>
      </w:hyperlink>
      <w:r w:rsidRPr="00E801B0">
        <w:rPr>
          <w:rFonts w:eastAsiaTheme="minorEastAsia" w:cs="Times New Roman"/>
          <w:sz w:val="22"/>
          <w:szCs w:val="22"/>
          <w:lang w:val="fr-CH" w:eastAsia="fr-FR"/>
        </w:rPr>
        <w:t> (fines lamelles de plomb typographique) entre les mots. Ces espaces ont conservé jusqu'à aujourd'hui le genre féminin en typographie (on dit « une » espace). Quand une, deux ou trois lignes, en fonction du corps du caractère, avaient été composées dans le composteur, elles étaient déposées dans la </w:t>
      </w:r>
      <w:hyperlink r:id="rId12" w:tooltip="Galée (imprimerie)" w:history="1">
        <w:r w:rsidRPr="00E801B0">
          <w:rPr>
            <w:rFonts w:eastAsiaTheme="minorEastAsia" w:cs="Times New Roman"/>
            <w:sz w:val="22"/>
            <w:szCs w:val="22"/>
            <w:lang w:val="fr-CH" w:eastAsia="fr-FR"/>
          </w:rPr>
          <w:t>galée</w:t>
        </w:r>
      </w:hyperlink>
      <w:r w:rsidRPr="00E801B0">
        <w:rPr>
          <w:rFonts w:eastAsiaTheme="minorEastAsia" w:cs="Times New Roman"/>
          <w:sz w:val="22"/>
          <w:szCs w:val="22"/>
          <w:lang w:val="fr-CH" w:eastAsia="fr-FR"/>
        </w:rPr>
        <w:t>, une simple planche ou plaque de métal, munie d'un léger rebord sur deux ou trois côtés.</w:t>
      </w:r>
    </w:p>
    <w:p w14:paraId="6E8664AC" w14:textId="77777777" w:rsidR="00E801B0" w:rsidRPr="00E801B0" w:rsidRDefault="00E801B0" w:rsidP="00E801B0">
      <w:pPr>
        <w:pBdr>
          <w:top w:val="single" w:sz="4" w:space="1" w:color="auto"/>
          <w:left w:val="single" w:sz="4" w:space="4" w:color="auto"/>
          <w:bottom w:val="single" w:sz="4" w:space="1" w:color="auto"/>
          <w:right w:val="single" w:sz="4" w:space="4" w:color="auto"/>
        </w:pBdr>
        <w:shd w:val="clear" w:color="auto" w:fill="FFFFFF"/>
        <w:spacing w:before="120" w:after="120"/>
        <w:rPr>
          <w:rFonts w:eastAsiaTheme="minorEastAsia" w:cs="Times New Roman"/>
          <w:sz w:val="22"/>
          <w:szCs w:val="22"/>
          <w:lang w:val="fr-CH" w:eastAsia="fr-FR"/>
        </w:rPr>
      </w:pPr>
      <w:r w:rsidRPr="00E801B0">
        <w:rPr>
          <w:rFonts w:eastAsiaTheme="minorEastAsia" w:cs="Times New Roman"/>
          <w:sz w:val="22"/>
          <w:szCs w:val="22"/>
          <w:lang w:val="fr-CH" w:eastAsia="fr-FR"/>
        </w:rPr>
        <w:t>Une fois la galée remplie de toutes les lignes de la page à composer, l'ensemble de ces dernières, appelé alors un « paquet », était entouré de trois tours de ficelle, et transporté sur le </w:t>
      </w:r>
      <w:hyperlink r:id="rId13" w:tooltip="Marbre (typographie)" w:history="1">
        <w:r w:rsidRPr="00E801B0">
          <w:rPr>
            <w:rFonts w:eastAsiaTheme="minorEastAsia" w:cs="Times New Roman"/>
            <w:sz w:val="22"/>
            <w:szCs w:val="22"/>
            <w:lang w:val="fr-CH" w:eastAsia="fr-FR"/>
          </w:rPr>
          <w:t>marbre</w:t>
        </w:r>
      </w:hyperlink>
      <w:r w:rsidRPr="00E801B0">
        <w:rPr>
          <w:rFonts w:eastAsiaTheme="minorEastAsia" w:cs="Times New Roman"/>
          <w:sz w:val="22"/>
          <w:szCs w:val="22"/>
          <w:lang w:val="fr-CH" w:eastAsia="fr-FR"/>
        </w:rPr>
        <w:t> afin d'y recevoir, par le metteur en page, leurs derniers éléments (foliotage [numérotation], notes ou illustrations éventuelles) et d'être serrés dans un </w:t>
      </w:r>
      <w:hyperlink r:id="rId14" w:tooltip="Châssis (typographie)" w:history="1">
        <w:r w:rsidRPr="00E801B0">
          <w:rPr>
            <w:rFonts w:eastAsiaTheme="minorEastAsia" w:cs="Times New Roman"/>
            <w:sz w:val="22"/>
            <w:szCs w:val="22"/>
            <w:lang w:val="fr-CH" w:eastAsia="fr-FR"/>
          </w:rPr>
          <w:t>châssis</w:t>
        </w:r>
      </w:hyperlink>
      <w:r w:rsidRPr="00E801B0">
        <w:rPr>
          <w:rFonts w:eastAsiaTheme="minorEastAsia" w:cs="Times New Roman"/>
          <w:sz w:val="22"/>
          <w:szCs w:val="22"/>
          <w:lang w:val="fr-CH" w:eastAsia="fr-FR"/>
        </w:rPr>
        <w:t>. Ce châssis recevait en fait plusieurs pages en fonction de l'</w:t>
      </w:r>
      <w:hyperlink r:id="rId15" w:tooltip="Imposition (imprimerie)" w:history="1">
        <w:r w:rsidRPr="00E801B0">
          <w:rPr>
            <w:rFonts w:eastAsiaTheme="minorEastAsia" w:cs="Times New Roman"/>
            <w:sz w:val="22"/>
            <w:szCs w:val="22"/>
            <w:lang w:val="fr-CH" w:eastAsia="fr-FR"/>
          </w:rPr>
          <w:t>imposition</w:t>
        </w:r>
      </w:hyperlink>
      <w:r w:rsidRPr="00E801B0">
        <w:rPr>
          <w:rFonts w:eastAsiaTheme="minorEastAsia" w:cs="Times New Roman"/>
          <w:sz w:val="22"/>
          <w:szCs w:val="22"/>
          <w:lang w:val="fr-CH" w:eastAsia="fr-FR"/>
        </w:rPr>
        <w:t> prévue, chaque page étant séparée des autres par une « garniture », faite de morceaux de bois ou de plomb.</w:t>
      </w:r>
    </w:p>
    <w:p w14:paraId="6B227943" w14:textId="17F9EA10" w:rsidR="00E801B0" w:rsidRPr="00E801B0" w:rsidRDefault="00E801B0" w:rsidP="00E801B0">
      <w:pPr>
        <w:pBdr>
          <w:top w:val="single" w:sz="4" w:space="1" w:color="auto"/>
          <w:left w:val="single" w:sz="4" w:space="4" w:color="auto"/>
          <w:bottom w:val="single" w:sz="4" w:space="1" w:color="auto"/>
          <w:right w:val="single" w:sz="4" w:space="4" w:color="auto"/>
        </w:pBdr>
        <w:shd w:val="clear" w:color="auto" w:fill="FFFFFF"/>
        <w:spacing w:before="120" w:after="120"/>
        <w:rPr>
          <w:rFonts w:eastAsiaTheme="minorEastAsia" w:cs="Times New Roman"/>
          <w:sz w:val="22"/>
          <w:szCs w:val="22"/>
          <w:lang w:val="fr-CH" w:eastAsia="fr-FR"/>
        </w:rPr>
      </w:pPr>
      <w:r w:rsidRPr="00E801B0">
        <w:rPr>
          <w:rFonts w:eastAsiaTheme="minorEastAsia" w:cs="Times New Roman"/>
          <w:sz w:val="22"/>
          <w:szCs w:val="22"/>
          <w:lang w:val="fr-CH" w:eastAsia="fr-FR"/>
        </w:rPr>
        <w:t>On appelait « fonte de caractères » l'ensemble des caractères de même corps, graisse et style, livré en une seule fois par le fondeur à l'imprimeur (ex. : Garamond romain médium 12 points). Chaque fonte de caractères différente était rangée dans une casse différente. On appelait « police de caractères » le document écrit que rédigeait le fondeur pour l'imprimeur, faisant l'inventaire d'une fonte de caractères (liste des caractères et de leurs quantités respectives) dont il avait besoin pour la vente. Par extension, la police de caractères désignait l'assortiment lui-même, la fonte de caractères</w:t>
      </w:r>
      <w:r>
        <w:rPr>
          <w:rFonts w:eastAsiaTheme="minorEastAsia" w:cs="Times New Roman"/>
          <w:sz w:val="22"/>
          <w:szCs w:val="22"/>
          <w:lang w:val="fr-CH" w:eastAsia="fr-FR"/>
        </w:rPr>
        <w:t>.</w:t>
      </w:r>
      <w:bookmarkStart w:id="0" w:name="_GoBack"/>
      <w:bookmarkEnd w:id="0"/>
    </w:p>
    <w:sectPr w:rsidR="00E801B0" w:rsidRPr="00E801B0" w:rsidSect="008B4E8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1AA46B" w14:textId="77777777" w:rsidR="00FE0806" w:rsidRDefault="00FE0806" w:rsidP="00FE0806">
      <w:r>
        <w:separator/>
      </w:r>
    </w:p>
  </w:endnote>
  <w:endnote w:type="continuationSeparator" w:id="0">
    <w:p w14:paraId="3A8DDCC5" w14:textId="77777777" w:rsidR="00FE0806" w:rsidRDefault="00FE0806" w:rsidP="00FE0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4E555" w14:textId="77777777" w:rsidR="00FE0806" w:rsidRDefault="00FE0806" w:rsidP="00FE0806">
      <w:r>
        <w:separator/>
      </w:r>
    </w:p>
  </w:footnote>
  <w:footnote w:type="continuationSeparator" w:id="0">
    <w:p w14:paraId="76C252C3" w14:textId="77777777" w:rsidR="00FE0806" w:rsidRDefault="00FE0806" w:rsidP="00FE0806">
      <w:r>
        <w:continuationSeparator/>
      </w:r>
    </w:p>
  </w:footnote>
  <w:footnote w:id="1">
    <w:p w14:paraId="66704BFC" w14:textId="6C46D6A0" w:rsidR="00FE0806" w:rsidRDefault="00FE0806">
      <w:pPr>
        <w:pStyle w:val="Notedebasdepage"/>
      </w:pPr>
      <w:r>
        <w:rPr>
          <w:rStyle w:val="Marquenotebasdepage"/>
        </w:rPr>
        <w:footnoteRef/>
      </w:r>
      <w:r>
        <w:t xml:space="preserve"> Notes tirées de Natahaële Vogel et Michel Pierre, </w:t>
      </w:r>
      <w:r w:rsidRPr="00FE0806">
        <w:rPr>
          <w:i/>
        </w:rPr>
        <w:t>La Renaissance</w:t>
      </w:r>
      <w:r>
        <w:t>, Casterman, Paris, 1985, p. 8-9.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01F"/>
    <w:rsid w:val="001F460B"/>
    <w:rsid w:val="002925AF"/>
    <w:rsid w:val="002E31AB"/>
    <w:rsid w:val="00391A82"/>
    <w:rsid w:val="003E701F"/>
    <w:rsid w:val="00527351"/>
    <w:rsid w:val="00651B6E"/>
    <w:rsid w:val="00754B61"/>
    <w:rsid w:val="00841056"/>
    <w:rsid w:val="008B4E88"/>
    <w:rsid w:val="00E801B0"/>
    <w:rsid w:val="00F40136"/>
    <w:rsid w:val="00F7397C"/>
    <w:rsid w:val="00FA2813"/>
    <w:rsid w:val="00FE0806"/>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C7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91A82"/>
    <w:pPr>
      <w:spacing w:after="0"/>
      <w:jc w:val="both"/>
    </w:pPr>
    <w:rPr>
      <w:rFonts w:eastAsiaTheme="minorHAnsi"/>
      <w:lang w:eastAsia="en-US"/>
    </w:rPr>
  </w:style>
  <w:style w:type="paragraph" w:styleId="Titre1">
    <w:name w:val="heading 1"/>
    <w:basedOn w:val="Normal"/>
    <w:next w:val="Normal"/>
    <w:link w:val="Titre1Car"/>
    <w:uiPriority w:val="9"/>
    <w:rsid w:val="00391A82"/>
    <w:pPr>
      <w:keepNext/>
      <w:keepLines/>
      <w:spacing w:before="480"/>
      <w:outlineLvl w:val="0"/>
    </w:pPr>
    <w:rPr>
      <w:rFonts w:asciiTheme="majorHAnsi" w:eastAsiaTheme="majorEastAsia" w:hAnsiTheme="majorHAnsi" w:cstheme="majorBidi"/>
      <w:b/>
      <w:bCs/>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te">
    <w:name w:val="note"/>
    <w:basedOn w:val="Normal"/>
    <w:qFormat/>
    <w:rsid w:val="002E31AB"/>
    <w:pPr>
      <w:ind w:left="567" w:right="419"/>
    </w:pPr>
    <w:rPr>
      <w:sz w:val="22"/>
      <w:lang w:val="fr-CH"/>
    </w:rPr>
  </w:style>
  <w:style w:type="character" w:customStyle="1" w:styleId="Titre1Car">
    <w:name w:val="Titre 1 Car"/>
    <w:basedOn w:val="Policepardfaut"/>
    <w:link w:val="Titre1"/>
    <w:uiPriority w:val="9"/>
    <w:rsid w:val="00391A82"/>
    <w:rPr>
      <w:rFonts w:asciiTheme="majorHAnsi" w:eastAsiaTheme="majorEastAsia" w:hAnsiTheme="majorHAnsi" w:cstheme="majorBidi"/>
      <w:b/>
      <w:bCs/>
      <w:color w:val="000000" w:themeColor="text1"/>
    </w:rPr>
  </w:style>
  <w:style w:type="paragraph" w:styleId="Titre">
    <w:name w:val="Title"/>
    <w:basedOn w:val="Normal"/>
    <w:next w:val="Normal"/>
    <w:link w:val="TitreCar"/>
    <w:uiPriority w:val="10"/>
    <w:rsid w:val="00391A82"/>
    <w:pPr>
      <w:spacing w:after="300"/>
      <w:contextualSpacing/>
      <w:jc w:val="center"/>
    </w:pPr>
    <w:rPr>
      <w:rFonts w:eastAsiaTheme="majorEastAsia" w:cstheme="majorBidi"/>
      <w:b/>
      <w:bCs/>
      <w:color w:val="000000" w:themeColor="text1"/>
      <w:spacing w:val="5"/>
      <w:kern w:val="28"/>
    </w:rPr>
  </w:style>
  <w:style w:type="character" w:customStyle="1" w:styleId="TitreCar">
    <w:name w:val="Titre Car"/>
    <w:basedOn w:val="Policepardfaut"/>
    <w:link w:val="Titre"/>
    <w:uiPriority w:val="10"/>
    <w:rsid w:val="00391A82"/>
    <w:rPr>
      <w:rFonts w:eastAsiaTheme="majorEastAsia" w:cstheme="majorBidi"/>
      <w:b/>
      <w:bCs/>
      <w:color w:val="000000" w:themeColor="text1"/>
      <w:spacing w:val="5"/>
      <w:kern w:val="28"/>
    </w:rPr>
  </w:style>
  <w:style w:type="paragraph" w:customStyle="1" w:styleId="titre2">
    <w:name w:val="titre 2"/>
    <w:basedOn w:val="Titre"/>
    <w:rsid w:val="00391A82"/>
    <w:pPr>
      <w:tabs>
        <w:tab w:val="left" w:pos="2260"/>
      </w:tabs>
      <w:spacing w:after="0"/>
      <w:jc w:val="both"/>
    </w:pPr>
  </w:style>
  <w:style w:type="paragraph" w:styleId="En-tte">
    <w:name w:val="header"/>
    <w:basedOn w:val="Normal"/>
    <w:link w:val="En-tteCar"/>
    <w:uiPriority w:val="99"/>
    <w:unhideWhenUsed/>
    <w:rsid w:val="00391A82"/>
    <w:pPr>
      <w:tabs>
        <w:tab w:val="center" w:pos="4536"/>
        <w:tab w:val="right" w:pos="9072"/>
      </w:tabs>
    </w:pPr>
  </w:style>
  <w:style w:type="character" w:customStyle="1" w:styleId="En-tteCar">
    <w:name w:val="En-tête Car"/>
    <w:basedOn w:val="Policepardfaut"/>
    <w:link w:val="En-tte"/>
    <w:uiPriority w:val="99"/>
    <w:rsid w:val="00391A82"/>
  </w:style>
  <w:style w:type="paragraph" w:styleId="Notedebasdepage">
    <w:name w:val="footnote text"/>
    <w:basedOn w:val="Normal"/>
    <w:link w:val="NotedebasdepageCar"/>
    <w:autoRedefine/>
    <w:uiPriority w:val="99"/>
    <w:unhideWhenUsed/>
    <w:rsid w:val="00F7397C"/>
    <w:rPr>
      <w:sz w:val="20"/>
    </w:rPr>
  </w:style>
  <w:style w:type="character" w:customStyle="1" w:styleId="NotedebasdepageCar">
    <w:name w:val="Note de bas de page Car"/>
    <w:basedOn w:val="Policepardfaut"/>
    <w:link w:val="Notedebasdepage"/>
    <w:uiPriority w:val="99"/>
    <w:rsid w:val="00F7397C"/>
    <w:rPr>
      <w:rFonts w:eastAsiaTheme="minorHAnsi"/>
      <w:sz w:val="20"/>
      <w:lang w:eastAsia="en-US"/>
    </w:rPr>
  </w:style>
  <w:style w:type="character" w:styleId="Marquenotebasdepage">
    <w:name w:val="footnote reference"/>
    <w:basedOn w:val="Policepardfaut"/>
    <w:uiPriority w:val="99"/>
    <w:unhideWhenUsed/>
    <w:rsid w:val="00FE0806"/>
    <w:rPr>
      <w:vertAlign w:val="superscript"/>
    </w:rPr>
  </w:style>
  <w:style w:type="paragraph" w:styleId="NormalWeb">
    <w:name w:val="Normal (Web)"/>
    <w:basedOn w:val="Normal"/>
    <w:uiPriority w:val="99"/>
    <w:semiHidden/>
    <w:unhideWhenUsed/>
    <w:rsid w:val="00E801B0"/>
    <w:pPr>
      <w:spacing w:before="100" w:beforeAutospacing="1" w:after="100" w:afterAutospacing="1"/>
      <w:jc w:val="left"/>
    </w:pPr>
    <w:rPr>
      <w:rFonts w:ascii="Times" w:eastAsiaTheme="minorEastAsia" w:hAnsi="Times" w:cs="Times New Roman"/>
      <w:sz w:val="20"/>
      <w:szCs w:val="20"/>
      <w:lang w:val="fr-CH" w:eastAsia="fr-FR"/>
    </w:rPr>
  </w:style>
  <w:style w:type="character" w:styleId="Lienhypertexte">
    <w:name w:val="Hyperlink"/>
    <w:basedOn w:val="Policepardfaut"/>
    <w:uiPriority w:val="99"/>
    <w:semiHidden/>
    <w:unhideWhenUsed/>
    <w:rsid w:val="00E801B0"/>
    <w:rPr>
      <w:color w:val="0000FF"/>
      <w:u w:val="single"/>
    </w:rPr>
  </w:style>
  <w:style w:type="paragraph" w:styleId="Textedebulles">
    <w:name w:val="Balloon Text"/>
    <w:basedOn w:val="Normal"/>
    <w:link w:val="TextedebullesCar"/>
    <w:uiPriority w:val="99"/>
    <w:semiHidden/>
    <w:unhideWhenUsed/>
    <w:rsid w:val="00E801B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E801B0"/>
    <w:rPr>
      <w:rFonts w:ascii="Lucida Grande" w:eastAsiaTheme="minorHAnsi"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91A82"/>
    <w:pPr>
      <w:spacing w:after="0"/>
      <w:jc w:val="both"/>
    </w:pPr>
    <w:rPr>
      <w:rFonts w:eastAsiaTheme="minorHAnsi"/>
      <w:lang w:eastAsia="en-US"/>
    </w:rPr>
  </w:style>
  <w:style w:type="paragraph" w:styleId="Titre1">
    <w:name w:val="heading 1"/>
    <w:basedOn w:val="Normal"/>
    <w:next w:val="Normal"/>
    <w:link w:val="Titre1Car"/>
    <w:uiPriority w:val="9"/>
    <w:rsid w:val="00391A82"/>
    <w:pPr>
      <w:keepNext/>
      <w:keepLines/>
      <w:spacing w:before="480"/>
      <w:outlineLvl w:val="0"/>
    </w:pPr>
    <w:rPr>
      <w:rFonts w:asciiTheme="majorHAnsi" w:eastAsiaTheme="majorEastAsia" w:hAnsiTheme="majorHAnsi" w:cstheme="majorBidi"/>
      <w:b/>
      <w:bCs/>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te">
    <w:name w:val="note"/>
    <w:basedOn w:val="Normal"/>
    <w:qFormat/>
    <w:rsid w:val="002E31AB"/>
    <w:pPr>
      <w:ind w:left="567" w:right="419"/>
    </w:pPr>
    <w:rPr>
      <w:sz w:val="22"/>
      <w:lang w:val="fr-CH"/>
    </w:rPr>
  </w:style>
  <w:style w:type="character" w:customStyle="1" w:styleId="Titre1Car">
    <w:name w:val="Titre 1 Car"/>
    <w:basedOn w:val="Policepardfaut"/>
    <w:link w:val="Titre1"/>
    <w:uiPriority w:val="9"/>
    <w:rsid w:val="00391A82"/>
    <w:rPr>
      <w:rFonts w:asciiTheme="majorHAnsi" w:eastAsiaTheme="majorEastAsia" w:hAnsiTheme="majorHAnsi" w:cstheme="majorBidi"/>
      <w:b/>
      <w:bCs/>
      <w:color w:val="000000" w:themeColor="text1"/>
    </w:rPr>
  </w:style>
  <w:style w:type="paragraph" w:styleId="Titre">
    <w:name w:val="Title"/>
    <w:basedOn w:val="Normal"/>
    <w:next w:val="Normal"/>
    <w:link w:val="TitreCar"/>
    <w:uiPriority w:val="10"/>
    <w:rsid w:val="00391A82"/>
    <w:pPr>
      <w:spacing w:after="300"/>
      <w:contextualSpacing/>
      <w:jc w:val="center"/>
    </w:pPr>
    <w:rPr>
      <w:rFonts w:eastAsiaTheme="majorEastAsia" w:cstheme="majorBidi"/>
      <w:b/>
      <w:bCs/>
      <w:color w:val="000000" w:themeColor="text1"/>
      <w:spacing w:val="5"/>
      <w:kern w:val="28"/>
    </w:rPr>
  </w:style>
  <w:style w:type="character" w:customStyle="1" w:styleId="TitreCar">
    <w:name w:val="Titre Car"/>
    <w:basedOn w:val="Policepardfaut"/>
    <w:link w:val="Titre"/>
    <w:uiPriority w:val="10"/>
    <w:rsid w:val="00391A82"/>
    <w:rPr>
      <w:rFonts w:eastAsiaTheme="majorEastAsia" w:cstheme="majorBidi"/>
      <w:b/>
      <w:bCs/>
      <w:color w:val="000000" w:themeColor="text1"/>
      <w:spacing w:val="5"/>
      <w:kern w:val="28"/>
    </w:rPr>
  </w:style>
  <w:style w:type="paragraph" w:customStyle="1" w:styleId="titre2">
    <w:name w:val="titre 2"/>
    <w:basedOn w:val="Titre"/>
    <w:rsid w:val="00391A82"/>
    <w:pPr>
      <w:tabs>
        <w:tab w:val="left" w:pos="2260"/>
      </w:tabs>
      <w:spacing w:after="0"/>
      <w:jc w:val="both"/>
    </w:pPr>
  </w:style>
  <w:style w:type="paragraph" w:styleId="En-tte">
    <w:name w:val="header"/>
    <w:basedOn w:val="Normal"/>
    <w:link w:val="En-tteCar"/>
    <w:uiPriority w:val="99"/>
    <w:unhideWhenUsed/>
    <w:rsid w:val="00391A82"/>
    <w:pPr>
      <w:tabs>
        <w:tab w:val="center" w:pos="4536"/>
        <w:tab w:val="right" w:pos="9072"/>
      </w:tabs>
    </w:pPr>
  </w:style>
  <w:style w:type="character" w:customStyle="1" w:styleId="En-tteCar">
    <w:name w:val="En-tête Car"/>
    <w:basedOn w:val="Policepardfaut"/>
    <w:link w:val="En-tte"/>
    <w:uiPriority w:val="99"/>
    <w:rsid w:val="00391A82"/>
  </w:style>
  <w:style w:type="paragraph" w:styleId="Notedebasdepage">
    <w:name w:val="footnote text"/>
    <w:basedOn w:val="Normal"/>
    <w:link w:val="NotedebasdepageCar"/>
    <w:autoRedefine/>
    <w:uiPriority w:val="99"/>
    <w:unhideWhenUsed/>
    <w:rsid w:val="00F7397C"/>
    <w:rPr>
      <w:sz w:val="20"/>
    </w:rPr>
  </w:style>
  <w:style w:type="character" w:customStyle="1" w:styleId="NotedebasdepageCar">
    <w:name w:val="Note de bas de page Car"/>
    <w:basedOn w:val="Policepardfaut"/>
    <w:link w:val="Notedebasdepage"/>
    <w:uiPriority w:val="99"/>
    <w:rsid w:val="00F7397C"/>
    <w:rPr>
      <w:rFonts w:eastAsiaTheme="minorHAnsi"/>
      <w:sz w:val="20"/>
      <w:lang w:eastAsia="en-US"/>
    </w:rPr>
  </w:style>
  <w:style w:type="character" w:styleId="Marquenotebasdepage">
    <w:name w:val="footnote reference"/>
    <w:basedOn w:val="Policepardfaut"/>
    <w:uiPriority w:val="99"/>
    <w:unhideWhenUsed/>
    <w:rsid w:val="00FE0806"/>
    <w:rPr>
      <w:vertAlign w:val="superscript"/>
    </w:rPr>
  </w:style>
  <w:style w:type="paragraph" w:styleId="NormalWeb">
    <w:name w:val="Normal (Web)"/>
    <w:basedOn w:val="Normal"/>
    <w:uiPriority w:val="99"/>
    <w:semiHidden/>
    <w:unhideWhenUsed/>
    <w:rsid w:val="00E801B0"/>
    <w:pPr>
      <w:spacing w:before="100" w:beforeAutospacing="1" w:after="100" w:afterAutospacing="1"/>
      <w:jc w:val="left"/>
    </w:pPr>
    <w:rPr>
      <w:rFonts w:ascii="Times" w:eastAsiaTheme="minorEastAsia" w:hAnsi="Times" w:cs="Times New Roman"/>
      <w:sz w:val="20"/>
      <w:szCs w:val="20"/>
      <w:lang w:val="fr-CH" w:eastAsia="fr-FR"/>
    </w:rPr>
  </w:style>
  <w:style w:type="character" w:styleId="Lienhypertexte">
    <w:name w:val="Hyperlink"/>
    <w:basedOn w:val="Policepardfaut"/>
    <w:uiPriority w:val="99"/>
    <w:semiHidden/>
    <w:unhideWhenUsed/>
    <w:rsid w:val="00E801B0"/>
    <w:rPr>
      <w:color w:val="0000FF"/>
      <w:u w:val="single"/>
    </w:rPr>
  </w:style>
  <w:style w:type="paragraph" w:styleId="Textedebulles">
    <w:name w:val="Balloon Text"/>
    <w:basedOn w:val="Normal"/>
    <w:link w:val="TextedebullesCar"/>
    <w:uiPriority w:val="99"/>
    <w:semiHidden/>
    <w:unhideWhenUsed/>
    <w:rsid w:val="00E801B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E801B0"/>
    <w:rPr>
      <w:rFonts w:ascii="Lucida Grande" w:eastAsiaTheme="minorHAnsi"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187232">
      <w:bodyDiv w:val="1"/>
      <w:marLeft w:val="0"/>
      <w:marRight w:val="0"/>
      <w:marTop w:val="0"/>
      <w:marBottom w:val="0"/>
      <w:divBdr>
        <w:top w:val="none" w:sz="0" w:space="0" w:color="auto"/>
        <w:left w:val="none" w:sz="0" w:space="0" w:color="auto"/>
        <w:bottom w:val="none" w:sz="0" w:space="0" w:color="auto"/>
        <w:right w:val="none" w:sz="0" w:space="0" w:color="auto"/>
      </w:divBdr>
      <w:divsChild>
        <w:div w:id="1708531150">
          <w:marLeft w:val="0"/>
          <w:marRight w:val="336"/>
          <w:marTop w:val="120"/>
          <w:marBottom w:val="312"/>
          <w:divBdr>
            <w:top w:val="none" w:sz="0" w:space="0" w:color="auto"/>
            <w:left w:val="none" w:sz="0" w:space="0" w:color="auto"/>
            <w:bottom w:val="none" w:sz="0" w:space="0" w:color="auto"/>
            <w:right w:val="none" w:sz="0" w:space="0" w:color="auto"/>
          </w:divBdr>
          <w:divsChild>
            <w:div w:id="81430093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fr.wikipedia.org/wiki/Espace_(typographie)" TargetMode="External"/><Relationship Id="rId12" Type="http://schemas.openxmlformats.org/officeDocument/2006/relationships/hyperlink" Target="https://fr.wikipedia.org/wiki/Gal%C3%A9e_(imprimerie)" TargetMode="External"/><Relationship Id="rId13" Type="http://schemas.openxmlformats.org/officeDocument/2006/relationships/hyperlink" Target="https://fr.wikipedia.org/wiki/Marbre_(typographie)" TargetMode="External"/><Relationship Id="rId14" Type="http://schemas.openxmlformats.org/officeDocument/2006/relationships/hyperlink" Target="https://fr.wikipedia.org/wiki/Ch%C3%A2ssis_(typographie)" TargetMode="External"/><Relationship Id="rId15" Type="http://schemas.openxmlformats.org/officeDocument/2006/relationships/hyperlink" Target="https://fr.wikipedia.org/wiki/Imposition_(imprimerie)"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fr.wikipedia.org/wiki/Casse_(typographie)" TargetMode="External"/><Relationship Id="rId9" Type="http://schemas.openxmlformats.org/officeDocument/2006/relationships/hyperlink" Target="https://fr.wikipedia.org/wiki/Composteur_(imprimerie)" TargetMode="External"/><Relationship Id="rId10" Type="http://schemas.openxmlformats.org/officeDocument/2006/relationships/hyperlink" Target="https://fr.wikipedia.org/wiki/Justification_(typographie)"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3C419-13FC-ED43-99BF-F0C0DB057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1164</Words>
  <Characters>6402</Characters>
  <Application>Microsoft Macintosh Word</Application>
  <DocSecurity>0</DocSecurity>
  <Lines>53</Lines>
  <Paragraphs>15</Paragraphs>
  <ScaleCrop>false</ScaleCrop>
  <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Arto Clerc</dc:creator>
  <cp:keywords/>
  <dc:description/>
  <cp:lastModifiedBy>Arto Clerc</cp:lastModifiedBy>
  <cp:revision>7</cp:revision>
  <dcterms:created xsi:type="dcterms:W3CDTF">2018-04-17T07:22:00Z</dcterms:created>
  <dcterms:modified xsi:type="dcterms:W3CDTF">2018-04-17T08:42:00Z</dcterms:modified>
</cp:coreProperties>
</file>