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jc w:val="center"/>
        <w:rPr>
          <w:rFonts w:ascii="Times" w:cs="Times" w:hAnsi="Times" w:eastAsia="Times"/>
          <w:b w:val="1"/>
          <w:bCs w:val="1"/>
          <w:sz w:val="26"/>
          <w:szCs w:val="26"/>
          <w:u w:val="single"/>
        </w:rPr>
      </w:pPr>
      <w:r>
        <w:rPr>
          <w:rFonts w:ascii="Times" w:hAnsi="Times"/>
          <w:b w:val="1"/>
          <w:bCs w:val="1"/>
          <w:sz w:val="26"/>
          <w:szCs w:val="26"/>
          <w:u w:val="single"/>
          <w:rtl w:val="0"/>
          <w:lang w:val="fr-FR"/>
        </w:rPr>
        <w:t>Vente d</w:t>
      </w:r>
      <w:r>
        <w:rPr>
          <w:rFonts w:ascii="Times" w:hAnsi="Times" w:hint="default"/>
          <w:b w:val="1"/>
          <w:bCs w:val="1"/>
          <w:sz w:val="26"/>
          <w:szCs w:val="26"/>
          <w:u w:val="single"/>
          <w:rtl w:val="0"/>
          <w:lang w:val="fr-FR"/>
        </w:rPr>
        <w:t>’</w:t>
      </w:r>
      <w:r>
        <w:rPr>
          <w:rFonts w:ascii="Times" w:hAnsi="Times"/>
          <w:b w:val="1"/>
          <w:bCs w:val="1"/>
          <w:sz w:val="26"/>
          <w:szCs w:val="26"/>
          <w:u w:val="single"/>
          <w:rtl w:val="0"/>
          <w:lang w:val="fr-FR"/>
        </w:rPr>
        <w:t>esclaves, Nouvelle-Orl</w:t>
      </w:r>
      <w:r>
        <w:rPr>
          <w:rFonts w:ascii="Times" w:hAnsi="Times" w:hint="default"/>
          <w:b w:val="1"/>
          <w:bCs w:val="1"/>
          <w:sz w:val="26"/>
          <w:szCs w:val="26"/>
          <w:u w:val="single"/>
          <w:rtl w:val="0"/>
          <w:lang w:val="fr-FR"/>
        </w:rPr>
        <w:t>é</w:t>
      </w:r>
      <w:r>
        <w:rPr>
          <w:rFonts w:ascii="Times" w:hAnsi="Times"/>
          <w:b w:val="1"/>
          <w:bCs w:val="1"/>
          <w:sz w:val="26"/>
          <w:szCs w:val="26"/>
          <w:u w:val="single"/>
          <w:rtl w:val="0"/>
          <w:lang w:val="fr-FR"/>
        </w:rPr>
        <w:t>ans, 1835</w:t>
      </w:r>
    </w:p>
    <w:p>
      <w:pPr>
        <w:pStyle w:val="Corps"/>
        <w:rPr>
          <w:rFonts w:ascii="Times" w:cs="Times" w:hAnsi="Times" w:eastAsia="Times"/>
        </w:rPr>
      </w:pPr>
    </w:p>
    <w:p>
      <w:pPr>
        <w:pStyle w:val="Corps"/>
        <w:jc w:val="center"/>
        <w:rPr>
          <w:rFonts w:ascii="Times" w:cs="Times" w:hAnsi="Times" w:eastAsia="Times"/>
        </w:rPr>
      </w:pPr>
      <w:r>
        <w:rPr>
          <w:rFonts w:ascii="Times" w:cs="Times" w:hAnsi="Times" w:eastAsia="Times"/>
        </w:rPr>
        <w:drawing>
          <wp:inline distT="0" distB="0" distL="0" distR="0">
            <wp:extent cx="5228329" cy="7910389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3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8329" cy="79103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 xml:space="preserve">Collection 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>de T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 xml:space="preserve">he New York Historical Society, #46628; E.D.C. Campbell 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 xml:space="preserve">&amp; 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K.S. Rice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 xml:space="preserve"> (</w:t>
      </w:r>
      <w:r>
        <w:rPr>
          <w:rFonts w:ascii="Cambria" w:cs="Cambria" w:hAnsi="Cambria" w:eastAsia="Cambria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>d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>.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>)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 xml:space="preserve">, </w:t>
      </w: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Before Freedom Came: African-American Life in the Antebellum South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 xml:space="preserve"> (Univ. Press of Virginia, 1991), fig. 100, p. 116.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"http://slaveryimages.org/images/collection/large/79a_slave_sale.JPG"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http://slaveryimages.org/images/collection/large/79a_slave_sale.JPG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 xml:space="preserve"> 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