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3C3" w:rsidRDefault="00E843C3" w:rsidP="00E843C3">
      <w:pPr>
        <w:pStyle w:val="NormalWeb"/>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fldChar w:fldCharType="begin"/>
      </w:r>
      <w:r>
        <w:rPr>
          <w:rFonts w:ascii="Trebuchet MS" w:hAnsi="Trebuchet MS"/>
          <w:color w:val="333333"/>
          <w:sz w:val="22"/>
          <w:szCs w:val="22"/>
        </w:rPr>
        <w:instrText xml:space="preserve"> HYPERLINK "</w:instrText>
      </w:r>
      <w:r w:rsidRPr="00E843C3">
        <w:rPr>
          <w:rFonts w:ascii="Trebuchet MS" w:hAnsi="Trebuchet MS"/>
          <w:color w:val="333333"/>
          <w:sz w:val="22"/>
          <w:szCs w:val="22"/>
        </w:rPr>
        <w:instrText>http://scientia.blog.lemonde.fr/2009/12/22/paul-broca-les-femmes-et-les-sauvages-ii/</w:instrText>
      </w:r>
      <w:r>
        <w:rPr>
          <w:rFonts w:ascii="Trebuchet MS" w:hAnsi="Trebuchet MS"/>
          <w:color w:val="333333"/>
          <w:sz w:val="22"/>
          <w:szCs w:val="22"/>
        </w:rPr>
        <w:instrText xml:space="preserve">" </w:instrText>
      </w:r>
      <w:r>
        <w:rPr>
          <w:rFonts w:ascii="Trebuchet MS" w:hAnsi="Trebuchet MS"/>
          <w:color w:val="333333"/>
          <w:sz w:val="22"/>
          <w:szCs w:val="22"/>
        </w:rPr>
        <w:fldChar w:fldCharType="separate"/>
      </w:r>
      <w:r w:rsidRPr="004C6A63">
        <w:rPr>
          <w:rStyle w:val="Lienhypertexte"/>
          <w:rFonts w:ascii="Trebuchet MS" w:hAnsi="Trebuchet MS"/>
          <w:sz w:val="22"/>
          <w:szCs w:val="22"/>
        </w:rPr>
        <w:t>http://scientia.blog.lemonde.fr/2009/12/22/paul-broca-les-femmes-et-les-sauvages-ii/</w:t>
      </w:r>
      <w:r>
        <w:rPr>
          <w:rFonts w:ascii="Trebuchet MS" w:hAnsi="Trebuchet MS"/>
          <w:color w:val="333333"/>
          <w:sz w:val="22"/>
          <w:szCs w:val="22"/>
        </w:rPr>
        <w:fldChar w:fldCharType="end"/>
      </w:r>
    </w:p>
    <w:p w:rsidR="00E843C3" w:rsidRDefault="00E843C3" w:rsidP="00E843C3">
      <w:pPr>
        <w:pStyle w:val="NormalWeb"/>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t>A propos des prétendues « études scientifiques » des « inégalités raciales », Broca écrit, par exemple :</w:t>
      </w:r>
    </w:p>
    <w:p w:rsidR="00E843C3" w:rsidRDefault="00E843C3" w:rsidP="00E843C3">
      <w:pPr>
        <w:pStyle w:val="gtxtbody"/>
        <w:shd w:val="clear" w:color="auto" w:fill="FFFFFF"/>
        <w:spacing w:before="0" w:beforeAutospacing="0" w:after="0" w:afterAutospacing="0"/>
        <w:jc w:val="both"/>
        <w:textAlignment w:val="baseline"/>
        <w:rPr>
          <w:rFonts w:ascii="Trebuchet MS" w:hAnsi="Trebuchet MS"/>
          <w:color w:val="333333"/>
          <w:sz w:val="22"/>
          <w:szCs w:val="22"/>
        </w:rPr>
      </w:pPr>
      <w:r>
        <w:rPr>
          <w:rFonts w:ascii="Trebuchet MS" w:hAnsi="Trebuchet MS"/>
          <w:color w:val="333333"/>
          <w:sz w:val="22"/>
          <w:szCs w:val="22"/>
        </w:rPr>
        <w:t>L’inégalité intellectuelle des races est chose bien connue ; et tous ceux qui ont étudié la question ont constaté que le prognathisme, dû en grande partie à l’affaissement de la région antérieure du crâne, n’existe que chez les races inférieures. Mais on a remarqué en outre que, dans les races prognathes, la partie postérieure du crâne s’agrandit en même temps que la partie frontale diminue ; c’est-à-dire que les lobes occipitaux augmentent lorsque les lobes antérieurs du cerveau s’amoindrissent ; et comme deux inégalités en sens inverse peuvent se faire équilibre, on a été tenté de croire que l’infériorité intellectuelle des races prognathes dépendait seulement de la forme, et nullement du volume de leur cerveau. Or, il est certain aujourd’hui que l’inégal développement des lobes antérieurs n’est pas la seule cause de l’inégalité intellectuelle des races. M. Gratiolet, en particulier, a montré que la petitesse du front, chez les prognathes, n’est nullement compensée par l’ampleur de l’occiput. La loge frontale est en effet beaucoup plus large que la loge postérieure, et un faible affaissement du front fait perdre à la boîte crânienne bien plus d’espace que ne lui en fait gagner la plus grande ampliation possible de la région occipitale. Aussi, M. Gratiolet n’hésite-t-il pas à attribuer la supériorité aux</w:t>
      </w:r>
      <w:r>
        <w:rPr>
          <w:rStyle w:val="apple-converted-space"/>
          <w:rFonts w:ascii="Trebuchet MS" w:hAnsi="Trebuchet MS"/>
          <w:color w:val="333333"/>
          <w:sz w:val="22"/>
          <w:szCs w:val="22"/>
        </w:rPr>
        <w:t> </w:t>
      </w:r>
      <w:r>
        <w:rPr>
          <w:rFonts w:ascii="Trebuchet MS" w:hAnsi="Trebuchet MS"/>
          <w:i/>
          <w:iCs/>
          <w:color w:val="333333"/>
          <w:sz w:val="22"/>
          <w:szCs w:val="22"/>
          <w:bdr w:val="none" w:sz="0" w:space="0" w:color="auto" w:frame="1"/>
        </w:rPr>
        <w:t>races frontales,</w:t>
      </w:r>
      <w:r>
        <w:rPr>
          <w:rStyle w:val="apple-converted-space"/>
          <w:rFonts w:ascii="Trebuchet MS" w:hAnsi="Trebuchet MS"/>
          <w:color w:val="333333"/>
          <w:sz w:val="22"/>
          <w:szCs w:val="22"/>
        </w:rPr>
        <w:t> </w:t>
      </w:r>
      <w:r>
        <w:rPr>
          <w:rFonts w:ascii="Trebuchet MS" w:hAnsi="Trebuchet MS"/>
          <w:color w:val="333333"/>
          <w:sz w:val="22"/>
          <w:szCs w:val="22"/>
        </w:rPr>
        <w:t>en se basant sur ce fait, qu’elles ont le cerveau plus volumineux que les</w:t>
      </w:r>
      <w:r>
        <w:rPr>
          <w:rStyle w:val="apple-converted-space"/>
          <w:rFonts w:ascii="Trebuchet MS" w:hAnsi="Trebuchet MS"/>
          <w:color w:val="333333"/>
          <w:sz w:val="22"/>
          <w:szCs w:val="22"/>
        </w:rPr>
        <w:t> </w:t>
      </w:r>
      <w:r>
        <w:rPr>
          <w:rFonts w:ascii="Trebuchet MS" w:hAnsi="Trebuchet MS"/>
          <w:i/>
          <w:iCs/>
          <w:color w:val="333333"/>
          <w:sz w:val="22"/>
          <w:szCs w:val="22"/>
          <w:bdr w:val="none" w:sz="0" w:space="0" w:color="auto" w:frame="1"/>
        </w:rPr>
        <w:t>races occipitales (</w:t>
      </w:r>
      <w:proofErr w:type="spellStart"/>
      <w:r>
        <w:rPr>
          <w:rFonts w:ascii="Trebuchet MS" w:hAnsi="Trebuchet MS"/>
          <w:i/>
          <w:iCs/>
          <w:color w:val="333333"/>
          <w:sz w:val="22"/>
          <w:szCs w:val="22"/>
          <w:bdr w:val="none" w:sz="0" w:space="0" w:color="auto" w:frame="1"/>
        </w:rPr>
        <w:t>Syst</w:t>
      </w:r>
      <w:proofErr w:type="spellEnd"/>
      <w:r>
        <w:rPr>
          <w:rFonts w:ascii="Trebuchet MS" w:hAnsi="Trebuchet MS"/>
          <w:i/>
          <w:iCs/>
          <w:color w:val="333333"/>
          <w:sz w:val="22"/>
          <w:szCs w:val="22"/>
          <w:bdr w:val="none" w:sz="0" w:space="0" w:color="auto" w:frame="1"/>
        </w:rPr>
        <w:t xml:space="preserve">. </w:t>
      </w:r>
      <w:proofErr w:type="spellStart"/>
      <w:proofErr w:type="gramStart"/>
      <w:r>
        <w:rPr>
          <w:rFonts w:ascii="Trebuchet MS" w:hAnsi="Trebuchet MS"/>
          <w:i/>
          <w:iCs/>
          <w:color w:val="333333"/>
          <w:sz w:val="22"/>
          <w:szCs w:val="22"/>
          <w:bdr w:val="none" w:sz="0" w:space="0" w:color="auto" w:frame="1"/>
        </w:rPr>
        <w:t>nerv</w:t>
      </w:r>
      <w:proofErr w:type="spellEnd"/>
      <w:r>
        <w:rPr>
          <w:rFonts w:ascii="Trebuchet MS" w:hAnsi="Trebuchet MS"/>
          <w:i/>
          <w:iCs/>
          <w:color w:val="333333"/>
          <w:sz w:val="22"/>
          <w:szCs w:val="22"/>
          <w:bdr w:val="none" w:sz="0" w:space="0" w:color="auto" w:frame="1"/>
        </w:rPr>
        <w:t>.,</w:t>
      </w:r>
      <w:proofErr w:type="gramEnd"/>
      <w:r>
        <w:rPr>
          <w:rStyle w:val="apple-converted-space"/>
          <w:rFonts w:ascii="Trebuchet MS" w:hAnsi="Trebuchet MS"/>
          <w:color w:val="333333"/>
          <w:sz w:val="22"/>
          <w:szCs w:val="22"/>
        </w:rPr>
        <w:t> </w:t>
      </w:r>
      <w:r>
        <w:rPr>
          <w:rFonts w:ascii="Trebuchet MS" w:hAnsi="Trebuchet MS"/>
          <w:color w:val="333333"/>
          <w:sz w:val="22"/>
          <w:szCs w:val="22"/>
        </w:rPr>
        <w:t>II, p. 298).</w:t>
      </w:r>
    </w:p>
    <w:p w:rsidR="00E843C3" w:rsidRDefault="00E843C3" w:rsidP="00E843C3">
      <w:pPr>
        <w:pStyle w:val="gtxtbody"/>
        <w:shd w:val="clear" w:color="auto" w:fill="FFFFFF"/>
        <w:spacing w:before="0" w:beforeAutospacing="0" w:after="0" w:afterAutospacing="0"/>
        <w:jc w:val="both"/>
        <w:textAlignment w:val="baseline"/>
        <w:rPr>
          <w:rFonts w:ascii="Trebuchet MS" w:hAnsi="Trebuchet MS"/>
          <w:color w:val="333333"/>
          <w:sz w:val="22"/>
          <w:szCs w:val="22"/>
        </w:rPr>
      </w:pPr>
      <w:r>
        <w:rPr>
          <w:rFonts w:ascii="Trebuchet MS" w:hAnsi="Trebuchet MS"/>
          <w:color w:val="333333"/>
          <w:sz w:val="22"/>
          <w:szCs w:val="22"/>
        </w:rPr>
        <w:t>Les recherches de notre collègue sur l’ossification des sutures ont pleinement confirmé cette opinion. Les os du crâne, distincts dans l’enfance, sont presque toujours soudés chez le vieillard ; la soudure de ces os met un terme à l’accroissement du crâne, comme la soudure des épiphyses met un terme à l’accroissement des os des</w:t>
      </w:r>
      <w:r>
        <w:rPr>
          <w:rStyle w:val="apple-converted-space"/>
          <w:rFonts w:ascii="Trebuchet MS" w:hAnsi="Trebuchet MS"/>
          <w:color w:val="333333"/>
          <w:sz w:val="22"/>
          <w:szCs w:val="22"/>
        </w:rPr>
        <w:t> </w:t>
      </w:r>
      <w:r>
        <w:rPr>
          <w:rFonts w:ascii="Trebuchet MS" w:hAnsi="Trebuchet MS"/>
          <w:color w:val="333333"/>
          <w:sz w:val="22"/>
          <w:szCs w:val="22"/>
          <w:bdr w:val="none" w:sz="0" w:space="0" w:color="auto" w:frame="1"/>
        </w:rPr>
        <w:t xml:space="preserve">membres et du tronc ; mais, tandis que celle-ci est complète, dans les points les plus attardés, vers l’âge de 25 ans, celle-là, chez les individus de notre race, est incomparablement plus tardive; il n’est pas rare de trouver certaines sutures du crâne encore ouvertes chez des hommes de 50 ans et même au delà ; d’où il résulte que, dans notre race, la cavité crânienne peut s’élargir, et que le volume de l’encéphale peut s’accroître, pendant toute la durée de l’âge mûr. Cela posé, M. Gratiolet a fait deux découvertes de la plus haute importance : il a découvert en premier lieu que, dans les races supérieures, les sutures crâniennes se referment beaucoup plus tard que dans les races inférieures ; ou, en d’autres termes, que l’accroissement du cerveau s’arrête beaucoup plus tôt chez celles-ci que chez celles-là. Ce premier fait s’accorde merveilleusement avec la doctrine que nous soutenons ; car la perfectibilité des races est subordonnée à celle des individus ; or, lorsque l’individu, grâce à l’accroissement continu de son cerveau, peut </w:t>
      </w:r>
      <w:proofErr w:type="spellStart"/>
      <w:r>
        <w:rPr>
          <w:rFonts w:ascii="Trebuchet MS" w:hAnsi="Trebuchet MS"/>
          <w:color w:val="333333"/>
          <w:sz w:val="22"/>
          <w:szCs w:val="22"/>
          <w:bdr w:val="none" w:sz="0" w:space="0" w:color="auto" w:frame="1"/>
        </w:rPr>
        <w:t>nonseulement</w:t>
      </w:r>
      <w:proofErr w:type="spellEnd"/>
      <w:r>
        <w:rPr>
          <w:rFonts w:ascii="Trebuchet MS" w:hAnsi="Trebuchet MS"/>
          <w:color w:val="333333"/>
          <w:sz w:val="22"/>
          <w:szCs w:val="22"/>
          <w:bdr w:val="none" w:sz="0" w:space="0" w:color="auto" w:frame="1"/>
        </w:rPr>
        <w:t xml:space="preserve"> maintenir, mais encore agrandir son intelligence jusqu’à la fin de l’âge mûr, il est naturel que la race soit plus perfectible que là où l’ossification précoce des sutures arrête de bonne heure le développement de l’intelligence, en même temps que celui du cerveau. La seconde découverte de M. Gratiolet est plus curieuse et plus significative encore ; car elle établit un rapport, </w:t>
      </w:r>
      <w:proofErr w:type="spellStart"/>
      <w:r>
        <w:rPr>
          <w:rFonts w:ascii="Trebuchet MS" w:hAnsi="Trebuchet MS"/>
          <w:color w:val="333333"/>
          <w:sz w:val="22"/>
          <w:szCs w:val="22"/>
          <w:bdr w:val="none" w:sz="0" w:space="0" w:color="auto" w:frame="1"/>
        </w:rPr>
        <w:t>nonseulement</w:t>
      </w:r>
      <w:proofErr w:type="spellEnd"/>
      <w:r>
        <w:rPr>
          <w:rFonts w:ascii="Trebuchet MS" w:hAnsi="Trebuchet MS"/>
          <w:color w:val="333333"/>
          <w:sz w:val="22"/>
          <w:szCs w:val="22"/>
          <w:bdr w:val="none" w:sz="0" w:space="0" w:color="auto" w:frame="1"/>
        </w:rPr>
        <w:t xml:space="preserve"> entre la capacité intellectuelle et la capacité crânienne, mais encore entre la dignité de l’intelligence et l’ampleur de la loge </w:t>
      </w:r>
      <w:proofErr w:type="spellStart"/>
      <w:r>
        <w:rPr>
          <w:rFonts w:ascii="Trebuchet MS" w:hAnsi="Trebuchet MS"/>
          <w:color w:val="333333"/>
          <w:sz w:val="22"/>
          <w:szCs w:val="22"/>
          <w:bdr w:val="none" w:sz="0" w:space="0" w:color="auto" w:frame="1"/>
        </w:rPr>
        <w:t>cérébrale</w:t>
      </w:r>
      <w:r>
        <w:rPr>
          <w:rFonts w:ascii="Trebuchet MS" w:hAnsi="Trebuchet MS"/>
          <w:i/>
          <w:iCs/>
          <w:color w:val="333333"/>
          <w:sz w:val="22"/>
          <w:szCs w:val="22"/>
          <w:bdr w:val="none" w:sz="0" w:space="0" w:color="auto" w:frame="1"/>
        </w:rPr>
        <w:t>antérieure</w:t>
      </w:r>
      <w:proofErr w:type="spellEnd"/>
      <w:r>
        <w:rPr>
          <w:rFonts w:ascii="Trebuchet MS" w:hAnsi="Trebuchet MS"/>
          <w:i/>
          <w:iCs/>
          <w:color w:val="333333"/>
          <w:sz w:val="22"/>
          <w:szCs w:val="22"/>
          <w:bdr w:val="none" w:sz="0" w:space="0" w:color="auto" w:frame="1"/>
        </w:rPr>
        <w:t>.</w:t>
      </w:r>
      <w:r>
        <w:rPr>
          <w:rStyle w:val="apple-converted-space"/>
          <w:rFonts w:ascii="Trebuchet MS" w:hAnsi="Trebuchet MS"/>
          <w:color w:val="333333"/>
          <w:sz w:val="22"/>
          <w:szCs w:val="22"/>
          <w:bdr w:val="none" w:sz="0" w:space="0" w:color="auto" w:frame="1"/>
        </w:rPr>
        <w:t> </w:t>
      </w:r>
      <w:r>
        <w:rPr>
          <w:rFonts w:ascii="Trebuchet MS" w:hAnsi="Trebuchet MS"/>
          <w:color w:val="333333"/>
          <w:sz w:val="22"/>
          <w:szCs w:val="22"/>
          <w:bdr w:val="none" w:sz="0" w:space="0" w:color="auto" w:frame="1"/>
        </w:rPr>
        <w:t>Elle est relative à l’ordre suivant lequel s’effectue l’oblitération des sutures dans les diverses régions du crâne. Dans les races les moins perfectibles, les sutures antérieures se referment avant les sutures postérieures ; c’est-à-dire que l’accroissement des lobes antérieurs du cerveau s’arrête avant celui des lobes occipitaux. Dans les races supérieures, au contraire, la soudure, beaucoup plus tardive, comme il vient d’être dit, procède d’arrière en avant. Alors même que la suture occipitale, déjà refermée, a mis un terme à l’accroissement des lobes postérieurs, la suture frontale, toujours ouverte, permet au cerveau de s’accroître encore dans ses lobes antérieurs, qui sont en rapport avec les facultés les plus élevées de l’entendement.</w:t>
      </w:r>
    </w:p>
    <w:p w:rsidR="00E843C3" w:rsidRDefault="00E843C3" w:rsidP="00E843C3">
      <w:pPr>
        <w:pStyle w:val="gtxtbody"/>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lastRenderedPageBreak/>
        <w:t>Tels sont les deux rapports que M. Gratiolet a découverts entre l’intelligence des races et l’état des sutures crâniennes. Ces rapports n’auraient aucune raison d’être si l’état des sutures n’était qu’un fait d’ostéologie pure, s’il n’était pas solidaire de l’étude de la masse cérébrale subjacente. C’est ce que notre collègue a parfaitement compris ; et, pour lui, l’étude des sutures n’est qu’un moyen d’apprécier le développement de l’encéphale.</w:t>
      </w:r>
    </w:p>
    <w:p w:rsidR="00E843C3" w:rsidRDefault="00E843C3" w:rsidP="00E843C3">
      <w:pPr>
        <w:pStyle w:val="gtxtbody"/>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t>Ces inductions, quelque logiques qu’elles soient, ne constituent qu’une démonstration indirecte ; et, dans les sciences d’observation, la validité des raisonnements est toujours subordonnée à la vérification expérimentale. Mais vous allez voir que les inductions de notre collègue sont pleinement confirmées par les résultats de la mensuration des crânes.</w:t>
      </w:r>
    </w:p>
    <w:p w:rsidR="00E843C3" w:rsidRDefault="00E843C3" w:rsidP="00E843C3">
      <w:pPr>
        <w:pStyle w:val="gtxtbody"/>
        <w:shd w:val="clear" w:color="auto" w:fill="FFFFFF"/>
        <w:spacing w:before="0" w:beforeAutospacing="0" w:after="0" w:afterAutospacing="0"/>
        <w:jc w:val="both"/>
        <w:textAlignment w:val="baseline"/>
        <w:rPr>
          <w:rFonts w:ascii="Trebuchet MS" w:hAnsi="Trebuchet MS"/>
          <w:color w:val="333333"/>
          <w:sz w:val="22"/>
          <w:szCs w:val="22"/>
        </w:rPr>
      </w:pPr>
      <w:r>
        <w:rPr>
          <w:rFonts w:ascii="Trebuchet MS" w:hAnsi="Trebuchet MS"/>
          <w:color w:val="333333"/>
          <w:sz w:val="22"/>
          <w:szCs w:val="22"/>
        </w:rPr>
        <w:t xml:space="preserve">L’épaisseur des parois crâniennes étant sujette à varier beaucoup, suivant les individus et surtout suivant les races, la </w:t>
      </w:r>
      <w:proofErr w:type="spellStart"/>
      <w:r>
        <w:rPr>
          <w:rFonts w:ascii="Trebuchet MS" w:hAnsi="Trebuchet MS"/>
          <w:color w:val="333333"/>
          <w:sz w:val="22"/>
          <w:szCs w:val="22"/>
        </w:rPr>
        <w:t>mensuration</w:t>
      </w:r>
      <w:r>
        <w:rPr>
          <w:rFonts w:ascii="Trebuchet MS" w:hAnsi="Trebuchet MS"/>
          <w:i/>
          <w:iCs/>
          <w:color w:val="333333"/>
          <w:sz w:val="22"/>
          <w:szCs w:val="22"/>
          <w:bdr w:val="none" w:sz="0" w:space="0" w:color="auto" w:frame="1"/>
        </w:rPr>
        <w:t>extérieure</w:t>
      </w:r>
      <w:proofErr w:type="spellEnd"/>
      <w:r>
        <w:rPr>
          <w:rStyle w:val="apple-converted-space"/>
          <w:rFonts w:ascii="Trebuchet MS" w:hAnsi="Trebuchet MS"/>
          <w:color w:val="333333"/>
          <w:sz w:val="22"/>
          <w:szCs w:val="22"/>
        </w:rPr>
        <w:t> </w:t>
      </w:r>
      <w:r>
        <w:rPr>
          <w:rFonts w:ascii="Trebuchet MS" w:hAnsi="Trebuchet MS"/>
          <w:color w:val="333333"/>
          <w:sz w:val="22"/>
          <w:szCs w:val="22"/>
        </w:rPr>
        <w:t>du crâne ne donne qu’une idée très-peu exacte de sa capacité</w:t>
      </w:r>
      <w:r>
        <w:rPr>
          <w:rStyle w:val="apple-converted-space"/>
          <w:rFonts w:ascii="Trebuchet MS" w:hAnsi="Trebuchet MS"/>
          <w:color w:val="333333"/>
          <w:sz w:val="22"/>
          <w:szCs w:val="22"/>
        </w:rPr>
        <w:t> </w:t>
      </w:r>
      <w:r>
        <w:rPr>
          <w:rFonts w:ascii="Trebuchet MS" w:hAnsi="Trebuchet MS"/>
          <w:i/>
          <w:iCs/>
          <w:color w:val="333333"/>
          <w:sz w:val="22"/>
          <w:szCs w:val="22"/>
          <w:bdr w:val="none" w:sz="0" w:space="0" w:color="auto" w:frame="1"/>
        </w:rPr>
        <w:t>intérieure,</w:t>
      </w:r>
      <w:r>
        <w:rPr>
          <w:rStyle w:val="apple-converted-space"/>
          <w:rFonts w:ascii="Trebuchet MS" w:hAnsi="Trebuchet MS"/>
          <w:color w:val="333333"/>
          <w:sz w:val="22"/>
          <w:szCs w:val="22"/>
        </w:rPr>
        <w:t> </w:t>
      </w:r>
      <w:r>
        <w:rPr>
          <w:rFonts w:ascii="Trebuchet MS" w:hAnsi="Trebuchet MS"/>
          <w:color w:val="333333"/>
          <w:sz w:val="22"/>
          <w:szCs w:val="22"/>
        </w:rPr>
        <w:t>et ce qui rend ce procédé plus défectueux encore, c’est que l’épaisseur des os du crâne est en général plus considérable dans les races inférieures que dans les races supérieures. Il pourrait donc se faire que cette inégalité compensât l’inégalité inverse de la capacité intérieure, et il en serait ainsi si le cerveau des blancs ne l’emportait sur</w:t>
      </w:r>
      <w:r>
        <w:rPr>
          <w:rStyle w:val="apple-converted-space"/>
          <w:rFonts w:ascii="Trebuchet MS" w:hAnsi="Trebuchet MS"/>
          <w:color w:val="333333"/>
          <w:sz w:val="22"/>
          <w:szCs w:val="22"/>
        </w:rPr>
        <w:t> </w:t>
      </w:r>
      <w:r>
        <w:rPr>
          <w:rFonts w:ascii="Trebuchet MS" w:hAnsi="Trebuchet MS"/>
          <w:color w:val="333333"/>
          <w:sz w:val="22"/>
          <w:szCs w:val="22"/>
          <w:bdr w:val="none" w:sz="0" w:space="0" w:color="auto" w:frame="1"/>
        </w:rPr>
        <w:t>le cerveau des nègres que d’une petite quantité. Par conséquent, si le volume extérieur du crâne est plus grand chez les blancs que chez les nègres, nous en conclurons, à plus forte raison, que ces derniers ont moins de masse cérébrale.</w:t>
      </w:r>
    </w:p>
    <w:p w:rsidR="00E843C3" w:rsidRDefault="00E843C3" w:rsidP="00E843C3">
      <w:pPr>
        <w:pStyle w:val="flow"/>
        <w:shd w:val="clear" w:color="auto" w:fill="FFFFFF"/>
        <w:spacing w:before="0" w:beforeAutospacing="0" w:after="0" w:afterAutospacing="0"/>
        <w:jc w:val="both"/>
        <w:textAlignment w:val="baseline"/>
        <w:rPr>
          <w:rFonts w:ascii="Trebuchet MS" w:hAnsi="Trebuchet MS"/>
          <w:color w:val="333333"/>
          <w:sz w:val="22"/>
          <w:szCs w:val="22"/>
        </w:rPr>
      </w:pPr>
      <w:r>
        <w:rPr>
          <w:rFonts w:ascii="Trebuchet MS" w:hAnsi="Trebuchet MS"/>
          <w:color w:val="333333"/>
          <w:sz w:val="22"/>
          <w:szCs w:val="22"/>
        </w:rPr>
        <w:t xml:space="preserve">Or, il est presque inutile ici de citer les chiffres, car tous les auteurs s’accordent à reconnaître que la région du crâne, considérée dans son ensemble, est plus volumineuse dans les races caucasiques que dans les races inférieures. Ce résultat ressort évidemment des mensurations pratiquées par </w:t>
      </w:r>
      <w:proofErr w:type="spellStart"/>
      <w:r>
        <w:rPr>
          <w:rFonts w:ascii="Trebuchet MS" w:hAnsi="Trebuchet MS"/>
          <w:color w:val="333333"/>
          <w:sz w:val="22"/>
          <w:szCs w:val="22"/>
        </w:rPr>
        <w:t>Sœmmering</w:t>
      </w:r>
      <w:proofErr w:type="spellEnd"/>
      <w:r>
        <w:rPr>
          <w:rFonts w:ascii="Trebuchet MS" w:hAnsi="Trebuchet MS"/>
          <w:color w:val="333333"/>
          <w:sz w:val="22"/>
          <w:szCs w:val="22"/>
        </w:rPr>
        <w:t xml:space="preserve">, par MM. </w:t>
      </w:r>
      <w:proofErr w:type="spellStart"/>
      <w:r>
        <w:rPr>
          <w:rFonts w:ascii="Trebuchet MS" w:hAnsi="Trebuchet MS"/>
          <w:color w:val="333333"/>
          <w:sz w:val="22"/>
          <w:szCs w:val="22"/>
        </w:rPr>
        <w:t>Parchappe</w:t>
      </w:r>
      <w:proofErr w:type="spellEnd"/>
      <w:r>
        <w:rPr>
          <w:rFonts w:ascii="Trebuchet MS" w:hAnsi="Trebuchet MS"/>
          <w:color w:val="333333"/>
          <w:sz w:val="22"/>
          <w:szCs w:val="22"/>
        </w:rPr>
        <w:t xml:space="preserve">, Van der </w:t>
      </w:r>
      <w:proofErr w:type="spellStart"/>
      <w:r>
        <w:rPr>
          <w:rFonts w:ascii="Trebuchet MS" w:hAnsi="Trebuchet MS"/>
          <w:color w:val="333333"/>
          <w:sz w:val="22"/>
          <w:szCs w:val="22"/>
        </w:rPr>
        <w:t>Hoeven</w:t>
      </w:r>
      <w:proofErr w:type="spellEnd"/>
      <w:r>
        <w:rPr>
          <w:rFonts w:ascii="Trebuchet MS" w:hAnsi="Trebuchet MS"/>
          <w:color w:val="333333"/>
          <w:sz w:val="22"/>
          <w:szCs w:val="22"/>
        </w:rPr>
        <w:t xml:space="preserve"> et Gratiolet. Les différences ne peuvent être exprimées en chiffres, parce que les procédés de mensuration ont été très-divers, et parce que le crâne échappe, par l’irrégularité de sa forme, à toute évaluation géométrique. Le procédé de M. </w:t>
      </w:r>
      <w:proofErr w:type="spellStart"/>
      <w:r>
        <w:rPr>
          <w:rFonts w:ascii="Trebuchet MS" w:hAnsi="Trebuchet MS"/>
          <w:color w:val="333333"/>
          <w:sz w:val="22"/>
          <w:szCs w:val="22"/>
        </w:rPr>
        <w:t>Parchappe</w:t>
      </w:r>
      <w:proofErr w:type="spellEnd"/>
      <w:r>
        <w:rPr>
          <w:rFonts w:ascii="Trebuchet MS" w:hAnsi="Trebuchet MS"/>
          <w:color w:val="333333"/>
          <w:sz w:val="22"/>
          <w:szCs w:val="22"/>
        </w:rPr>
        <w:t xml:space="preserve"> est certainement le plus vicieux de tous ; nous avons déjà dit en quoi il consiste (voyez plus haut, page 30). Nous avons montré qu’il atténue considérablement les différences ; mais il ne les efface pas entièrement. Ainsi, l’auteur a trouvé que le crâne du nègre est à celui du blanc comme 1420 est à 1438,4, c’est-à-dire comme 100 </w:t>
      </w:r>
      <w:proofErr w:type="spellStart"/>
      <w:r>
        <w:rPr>
          <w:rFonts w:ascii="Trebuchet MS" w:hAnsi="Trebuchet MS"/>
          <w:color w:val="333333"/>
          <w:sz w:val="22"/>
          <w:szCs w:val="22"/>
        </w:rPr>
        <w:t>esta</w:t>
      </w:r>
      <w:proofErr w:type="spellEnd"/>
      <w:r>
        <w:rPr>
          <w:rFonts w:ascii="Trebuchet MS" w:hAnsi="Trebuchet MS"/>
          <w:color w:val="333333"/>
          <w:sz w:val="22"/>
          <w:szCs w:val="22"/>
        </w:rPr>
        <w:t xml:space="preserve"> 101,31 (</w:t>
      </w:r>
      <w:proofErr w:type="spellStart"/>
      <w:r>
        <w:rPr>
          <w:rFonts w:ascii="Trebuchet MS" w:hAnsi="Trebuchet MS"/>
          <w:color w:val="333333"/>
          <w:sz w:val="22"/>
          <w:szCs w:val="22"/>
        </w:rPr>
        <w:t>Parchappe</w:t>
      </w:r>
      <w:proofErr w:type="spellEnd"/>
      <w:r>
        <w:rPr>
          <w:rFonts w:ascii="Trebuchet MS" w:hAnsi="Trebuchet MS"/>
          <w:color w:val="333333"/>
          <w:sz w:val="22"/>
          <w:szCs w:val="22"/>
        </w:rPr>
        <w:t>,</w:t>
      </w:r>
      <w:r>
        <w:rPr>
          <w:rStyle w:val="apple-converted-space"/>
          <w:rFonts w:ascii="Trebuchet MS" w:hAnsi="Trebuchet MS"/>
          <w:color w:val="333333"/>
          <w:sz w:val="22"/>
          <w:szCs w:val="22"/>
        </w:rPr>
        <w:t> </w:t>
      </w:r>
      <w:r>
        <w:rPr>
          <w:rFonts w:ascii="Trebuchet MS" w:hAnsi="Trebuchet MS"/>
          <w:i/>
          <w:iCs/>
          <w:color w:val="333333"/>
          <w:sz w:val="22"/>
          <w:szCs w:val="22"/>
          <w:bdr w:val="none" w:sz="0" w:space="0" w:color="auto" w:frame="1"/>
        </w:rPr>
        <w:t xml:space="preserve">loc. </w:t>
      </w:r>
      <w:proofErr w:type="spellStart"/>
      <w:proofErr w:type="gramStart"/>
      <w:r>
        <w:rPr>
          <w:rFonts w:ascii="Trebuchet MS" w:hAnsi="Trebuchet MS"/>
          <w:i/>
          <w:iCs/>
          <w:color w:val="333333"/>
          <w:sz w:val="22"/>
          <w:szCs w:val="22"/>
          <w:bdr w:val="none" w:sz="0" w:space="0" w:color="auto" w:frame="1"/>
        </w:rPr>
        <w:t>cit</w:t>
      </w:r>
      <w:proofErr w:type="spellEnd"/>
      <w:r>
        <w:rPr>
          <w:rFonts w:ascii="Trebuchet MS" w:hAnsi="Trebuchet MS"/>
          <w:i/>
          <w:iCs/>
          <w:color w:val="333333"/>
          <w:sz w:val="22"/>
          <w:szCs w:val="22"/>
          <w:bdr w:val="none" w:sz="0" w:space="0" w:color="auto" w:frame="1"/>
        </w:rPr>
        <w:t>.,</w:t>
      </w:r>
      <w:proofErr w:type="gramEnd"/>
      <w:r>
        <w:rPr>
          <w:rStyle w:val="apple-converted-space"/>
          <w:rFonts w:ascii="Trebuchet MS" w:hAnsi="Trebuchet MS"/>
          <w:color w:val="333333"/>
          <w:sz w:val="22"/>
          <w:szCs w:val="22"/>
        </w:rPr>
        <w:t> </w:t>
      </w:r>
      <w:r>
        <w:rPr>
          <w:rFonts w:ascii="Trebuchet MS" w:hAnsi="Trebuchet MS"/>
          <w:color w:val="333333"/>
          <w:sz w:val="22"/>
          <w:szCs w:val="22"/>
        </w:rPr>
        <w:t xml:space="preserve">p. 49). Cela semble peu de chose. Toutefois, ici encore, les chiffres donnés par M. </w:t>
      </w:r>
      <w:proofErr w:type="spellStart"/>
      <w:r>
        <w:rPr>
          <w:rFonts w:ascii="Trebuchet MS" w:hAnsi="Trebuchet MS"/>
          <w:color w:val="333333"/>
          <w:sz w:val="22"/>
          <w:szCs w:val="22"/>
        </w:rPr>
        <w:t>Parchappe</w:t>
      </w:r>
      <w:proofErr w:type="spellEnd"/>
      <w:r>
        <w:rPr>
          <w:rFonts w:ascii="Trebuchet MS" w:hAnsi="Trebuchet MS"/>
          <w:color w:val="333333"/>
          <w:sz w:val="22"/>
          <w:szCs w:val="22"/>
        </w:rPr>
        <w:t xml:space="preserve"> permettent d’affirmer que la différence, au lieu d’être minime, est au contraire très-grande. Car si l’on multiplie l’un par l’autre le diamètre </w:t>
      </w:r>
      <w:proofErr w:type="spellStart"/>
      <w:r>
        <w:rPr>
          <w:rFonts w:ascii="Trebuchet MS" w:hAnsi="Trebuchet MS"/>
          <w:color w:val="333333"/>
          <w:sz w:val="22"/>
          <w:szCs w:val="22"/>
        </w:rPr>
        <w:t>antéro-postérieur</w:t>
      </w:r>
      <w:proofErr w:type="spellEnd"/>
      <w:r>
        <w:rPr>
          <w:rFonts w:ascii="Trebuchet MS" w:hAnsi="Trebuchet MS"/>
          <w:color w:val="333333"/>
          <w:sz w:val="22"/>
          <w:szCs w:val="22"/>
        </w:rPr>
        <w:t xml:space="preserve"> et le diamètre transversal, ou trouve pour les nègres 206,24 centimètres carrés, et pour les blancs 231,23 centimètres carrés, ce qui donne un rapport de 100 à 112,11. Pour établir une comparaison</w:t>
      </w:r>
      <w:r>
        <w:rPr>
          <w:rStyle w:val="apple-converted-space"/>
          <w:rFonts w:ascii="Trebuchet MS" w:hAnsi="Trebuchet MS"/>
          <w:color w:val="333333"/>
          <w:sz w:val="22"/>
          <w:szCs w:val="22"/>
        </w:rPr>
        <w:t> </w:t>
      </w:r>
      <w:r>
        <w:rPr>
          <w:rFonts w:ascii="Trebuchet MS" w:hAnsi="Trebuchet MS"/>
          <w:i/>
          <w:iCs/>
          <w:color w:val="333333"/>
          <w:sz w:val="22"/>
          <w:szCs w:val="22"/>
          <w:bdr w:val="none" w:sz="0" w:space="0" w:color="auto" w:frame="1"/>
        </w:rPr>
        <w:t>approximative</w:t>
      </w:r>
      <w:r>
        <w:rPr>
          <w:rStyle w:val="apple-converted-space"/>
          <w:rFonts w:ascii="Trebuchet MS" w:hAnsi="Trebuchet MS"/>
          <w:color w:val="333333"/>
          <w:sz w:val="22"/>
          <w:szCs w:val="22"/>
        </w:rPr>
        <w:t> </w:t>
      </w:r>
      <w:r>
        <w:rPr>
          <w:rFonts w:ascii="Trebuchet MS" w:hAnsi="Trebuchet MS"/>
          <w:color w:val="333333"/>
          <w:sz w:val="22"/>
          <w:szCs w:val="22"/>
        </w:rPr>
        <w:t xml:space="preserve">entre les mesures cubiques, il faudrait multiplier ces chiffres respectifs par les diamètres verticaux, que M. </w:t>
      </w:r>
      <w:proofErr w:type="spellStart"/>
      <w:r>
        <w:rPr>
          <w:rFonts w:ascii="Trebuchet MS" w:hAnsi="Trebuchet MS"/>
          <w:color w:val="333333"/>
          <w:sz w:val="22"/>
          <w:szCs w:val="22"/>
        </w:rPr>
        <w:t>Parchappe</w:t>
      </w:r>
      <w:proofErr w:type="spellEnd"/>
      <w:r>
        <w:rPr>
          <w:rFonts w:ascii="Trebuchet MS" w:hAnsi="Trebuchet MS"/>
          <w:color w:val="333333"/>
          <w:sz w:val="22"/>
          <w:szCs w:val="22"/>
        </w:rPr>
        <w:t xml:space="preserve"> n’a pas mesurés, et cela pourrait accroître</w:t>
      </w:r>
      <w:r>
        <w:rPr>
          <w:rStyle w:val="apple-converted-space"/>
          <w:rFonts w:ascii="Trebuchet MS" w:hAnsi="Trebuchet MS"/>
          <w:color w:val="333333"/>
          <w:sz w:val="22"/>
          <w:szCs w:val="22"/>
        </w:rPr>
        <w:t> </w:t>
      </w:r>
      <w:r>
        <w:rPr>
          <w:rFonts w:ascii="Trebuchet MS" w:hAnsi="Trebuchet MS"/>
          <w:color w:val="333333"/>
          <w:sz w:val="22"/>
          <w:szCs w:val="22"/>
          <w:bdr w:val="none" w:sz="0" w:space="0" w:color="auto" w:frame="1"/>
        </w:rPr>
        <w:t xml:space="preserve">encore la différence. Ces remarques, sur le parallèle particulier des blancs et des nègres, s’appliquent tout aussi bien aux mensurations que M. </w:t>
      </w:r>
      <w:proofErr w:type="spellStart"/>
      <w:r>
        <w:rPr>
          <w:rFonts w:ascii="Trebuchet MS" w:hAnsi="Trebuchet MS"/>
          <w:color w:val="333333"/>
          <w:sz w:val="22"/>
          <w:szCs w:val="22"/>
          <w:bdr w:val="none" w:sz="0" w:space="0" w:color="auto" w:frame="1"/>
        </w:rPr>
        <w:t>Parchappe</w:t>
      </w:r>
      <w:proofErr w:type="spellEnd"/>
      <w:r>
        <w:rPr>
          <w:rFonts w:ascii="Trebuchet MS" w:hAnsi="Trebuchet MS"/>
          <w:color w:val="333333"/>
          <w:sz w:val="22"/>
          <w:szCs w:val="22"/>
          <w:bdr w:val="none" w:sz="0" w:space="0" w:color="auto" w:frame="1"/>
        </w:rPr>
        <w:t xml:space="preserve"> a pratiquées sur les crânes des autres races (voir </w:t>
      </w:r>
      <w:proofErr w:type="spellStart"/>
      <w:r>
        <w:rPr>
          <w:rFonts w:ascii="Trebuchet MS" w:hAnsi="Trebuchet MS"/>
          <w:color w:val="333333"/>
          <w:sz w:val="22"/>
          <w:szCs w:val="22"/>
          <w:bdr w:val="none" w:sz="0" w:space="0" w:color="auto" w:frame="1"/>
        </w:rPr>
        <w:t>Parchappe</w:t>
      </w:r>
      <w:proofErr w:type="spellEnd"/>
      <w:r>
        <w:rPr>
          <w:rFonts w:ascii="Trebuchet MS" w:hAnsi="Trebuchet MS"/>
          <w:color w:val="333333"/>
          <w:sz w:val="22"/>
          <w:szCs w:val="22"/>
          <w:bdr w:val="none" w:sz="0" w:space="0" w:color="auto" w:frame="1"/>
        </w:rPr>
        <w:t>,</w:t>
      </w:r>
      <w:r>
        <w:rPr>
          <w:rStyle w:val="apple-converted-space"/>
          <w:rFonts w:ascii="Trebuchet MS" w:hAnsi="Trebuchet MS"/>
          <w:color w:val="333333"/>
          <w:sz w:val="22"/>
          <w:szCs w:val="22"/>
          <w:bdr w:val="none" w:sz="0" w:space="0" w:color="auto" w:frame="1"/>
        </w:rPr>
        <w:t> </w:t>
      </w:r>
      <w:r>
        <w:rPr>
          <w:rFonts w:ascii="Trebuchet MS" w:hAnsi="Trebuchet MS"/>
          <w:i/>
          <w:iCs/>
          <w:color w:val="333333"/>
          <w:sz w:val="22"/>
          <w:szCs w:val="22"/>
          <w:bdr w:val="none" w:sz="0" w:space="0" w:color="auto" w:frame="1"/>
        </w:rPr>
        <w:t xml:space="preserve">loc. </w:t>
      </w:r>
      <w:proofErr w:type="spellStart"/>
      <w:proofErr w:type="gramStart"/>
      <w:r>
        <w:rPr>
          <w:rFonts w:ascii="Trebuchet MS" w:hAnsi="Trebuchet MS"/>
          <w:i/>
          <w:iCs/>
          <w:color w:val="333333"/>
          <w:sz w:val="22"/>
          <w:szCs w:val="22"/>
          <w:bdr w:val="none" w:sz="0" w:space="0" w:color="auto" w:frame="1"/>
        </w:rPr>
        <w:t>cit</w:t>
      </w:r>
      <w:proofErr w:type="spellEnd"/>
      <w:r>
        <w:rPr>
          <w:rFonts w:ascii="Trebuchet MS" w:hAnsi="Trebuchet MS"/>
          <w:i/>
          <w:iCs/>
          <w:color w:val="333333"/>
          <w:sz w:val="22"/>
          <w:szCs w:val="22"/>
          <w:bdr w:val="none" w:sz="0" w:space="0" w:color="auto" w:frame="1"/>
        </w:rPr>
        <w:t>.,</w:t>
      </w:r>
      <w:proofErr w:type="gramEnd"/>
      <w:r>
        <w:rPr>
          <w:rStyle w:val="apple-converted-space"/>
          <w:rFonts w:ascii="Trebuchet MS" w:hAnsi="Trebuchet MS"/>
          <w:color w:val="333333"/>
          <w:sz w:val="22"/>
          <w:szCs w:val="22"/>
          <w:bdr w:val="none" w:sz="0" w:space="0" w:color="auto" w:frame="1"/>
        </w:rPr>
        <w:t> </w:t>
      </w:r>
      <w:r>
        <w:rPr>
          <w:rFonts w:ascii="Trebuchet MS" w:hAnsi="Trebuchet MS"/>
          <w:color w:val="333333"/>
          <w:sz w:val="22"/>
          <w:szCs w:val="22"/>
          <w:bdr w:val="none" w:sz="0" w:space="0" w:color="auto" w:frame="1"/>
        </w:rPr>
        <w:t>p. 49, et</w:t>
      </w:r>
      <w:r>
        <w:rPr>
          <w:rStyle w:val="apple-converted-space"/>
          <w:rFonts w:ascii="Trebuchet MS" w:hAnsi="Trebuchet MS"/>
          <w:color w:val="333333"/>
          <w:sz w:val="22"/>
          <w:szCs w:val="22"/>
          <w:bdr w:val="none" w:sz="0" w:space="0" w:color="auto" w:frame="1"/>
        </w:rPr>
        <w:t> </w:t>
      </w:r>
      <w:r>
        <w:rPr>
          <w:rFonts w:ascii="Trebuchet MS" w:hAnsi="Trebuchet MS"/>
          <w:i/>
          <w:iCs/>
          <w:color w:val="333333"/>
          <w:sz w:val="22"/>
          <w:szCs w:val="22"/>
          <w:bdr w:val="none" w:sz="0" w:space="0" w:color="auto" w:frame="1"/>
        </w:rPr>
        <w:t>tableau</w:t>
      </w:r>
      <w:r>
        <w:rPr>
          <w:rStyle w:val="apple-converted-space"/>
          <w:rFonts w:ascii="Trebuchet MS" w:hAnsi="Trebuchet MS"/>
          <w:color w:val="333333"/>
          <w:sz w:val="22"/>
          <w:szCs w:val="22"/>
          <w:bdr w:val="none" w:sz="0" w:space="0" w:color="auto" w:frame="1"/>
        </w:rPr>
        <w:t> </w:t>
      </w:r>
      <w:r>
        <w:rPr>
          <w:rFonts w:ascii="Trebuchet MS" w:hAnsi="Trebuchet MS"/>
          <w:color w:val="333333"/>
          <w:sz w:val="22"/>
          <w:szCs w:val="22"/>
          <w:bdr w:val="none" w:sz="0" w:space="0" w:color="auto" w:frame="1"/>
        </w:rPr>
        <w:t>n° 3). Elles montrent que les différences indiquées par l’auteur sont bien au-dessous de la réalité. Je répète d’ailleurs que la mensuration extérieure du crâne ne donne qu’une idée très-insuffisante du volume de la tête, et qu’à plus forte raison elle ne peut servir à déterminer le volume du cerveau. Toutefois, les cerveaux des races supérieures et des races inférieures sont assez inégaux pour que, malgré la variété des formes céphaliques, et malgré la diversité des procédés de mensuration extérieure, tous les auteurs aient trouvé la tète plus grosse chez les Caucasiens que chez les Mongols, chez les Mongols que chez les nègres d’Afrique. J’ajoute que, d’après les mensurations pratiquées par M. Gratiolet et par moi-même, les crânes des nègres océaniens paraissent aussi inférieurs en volume aux crânes des nègres d’Afrique, que ceux-ci le sont aux crânes des Européens.</w:t>
      </w:r>
    </w:p>
    <w:p w:rsidR="00E843C3" w:rsidRDefault="00E843C3" w:rsidP="00E843C3">
      <w:pPr>
        <w:pStyle w:val="gtxtbody"/>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lastRenderedPageBreak/>
        <w:t>Mais ces évaluations ne sont nullement rigoureuses ; il est bien plus simple de mesurer directement la capacité crânienne.</w:t>
      </w:r>
    </w:p>
    <w:p w:rsidR="00E843C3" w:rsidRDefault="00E843C3" w:rsidP="00E843C3">
      <w:pPr>
        <w:pStyle w:val="gtxtbody"/>
        <w:shd w:val="clear" w:color="auto" w:fill="FFFFFF"/>
        <w:spacing w:before="0" w:beforeAutospacing="0" w:after="0" w:afterAutospacing="0"/>
        <w:jc w:val="both"/>
        <w:textAlignment w:val="baseline"/>
        <w:rPr>
          <w:rFonts w:ascii="Trebuchet MS" w:hAnsi="Trebuchet MS"/>
          <w:color w:val="333333"/>
          <w:sz w:val="22"/>
          <w:szCs w:val="22"/>
        </w:rPr>
      </w:pPr>
      <w:proofErr w:type="spellStart"/>
      <w:r>
        <w:rPr>
          <w:rFonts w:ascii="Trebuchet MS" w:hAnsi="Trebuchet MS"/>
          <w:color w:val="333333"/>
          <w:sz w:val="22"/>
          <w:szCs w:val="22"/>
        </w:rPr>
        <w:t>Saumarez</w:t>
      </w:r>
      <w:proofErr w:type="spellEnd"/>
      <w:r>
        <w:rPr>
          <w:rFonts w:ascii="Trebuchet MS" w:hAnsi="Trebuchet MS"/>
          <w:color w:val="333333"/>
          <w:sz w:val="22"/>
          <w:szCs w:val="22"/>
        </w:rPr>
        <w:t xml:space="preserve"> rapporte</w:t>
      </w:r>
      <w:r>
        <w:rPr>
          <w:rStyle w:val="apple-converted-space"/>
          <w:rFonts w:ascii="Trebuchet MS" w:hAnsi="Trebuchet MS"/>
          <w:color w:val="333333"/>
          <w:sz w:val="22"/>
          <w:szCs w:val="22"/>
        </w:rPr>
        <w:t> </w:t>
      </w:r>
      <w:r>
        <w:rPr>
          <w:rFonts w:ascii="Trebuchet MS" w:hAnsi="Trebuchet MS"/>
          <w:i/>
          <w:iCs/>
          <w:color w:val="333333"/>
          <w:sz w:val="22"/>
          <w:szCs w:val="22"/>
          <w:bdr w:val="none" w:sz="0" w:space="0" w:color="auto" w:frame="1"/>
        </w:rPr>
        <w:t>(</w:t>
      </w:r>
      <w:proofErr w:type="spellStart"/>
      <w:r>
        <w:rPr>
          <w:rFonts w:ascii="Trebuchet MS" w:hAnsi="Trebuchet MS"/>
          <w:i/>
          <w:iCs/>
          <w:color w:val="333333"/>
          <w:sz w:val="22"/>
          <w:szCs w:val="22"/>
          <w:bdr w:val="none" w:sz="0" w:space="0" w:color="auto" w:frame="1"/>
        </w:rPr>
        <w:t>Principles</w:t>
      </w:r>
      <w:proofErr w:type="spellEnd"/>
      <w:r>
        <w:rPr>
          <w:rFonts w:ascii="Trebuchet MS" w:hAnsi="Trebuchet MS"/>
          <w:i/>
          <w:iCs/>
          <w:color w:val="333333"/>
          <w:sz w:val="22"/>
          <w:szCs w:val="22"/>
          <w:bdr w:val="none" w:sz="0" w:space="0" w:color="auto" w:frame="1"/>
        </w:rPr>
        <w:t xml:space="preserve"> of </w:t>
      </w:r>
      <w:proofErr w:type="spellStart"/>
      <w:r>
        <w:rPr>
          <w:rFonts w:ascii="Trebuchet MS" w:hAnsi="Trebuchet MS"/>
          <w:i/>
          <w:iCs/>
          <w:color w:val="333333"/>
          <w:sz w:val="22"/>
          <w:szCs w:val="22"/>
          <w:bdr w:val="none" w:sz="0" w:space="0" w:color="auto" w:frame="1"/>
        </w:rPr>
        <w:t>Physiology</w:t>
      </w:r>
      <w:proofErr w:type="spellEnd"/>
      <w:r>
        <w:rPr>
          <w:rFonts w:ascii="Trebuchet MS" w:hAnsi="Trebuchet MS"/>
          <w:i/>
          <w:iCs/>
          <w:color w:val="333333"/>
          <w:sz w:val="22"/>
          <w:szCs w:val="22"/>
          <w:bdr w:val="none" w:sz="0" w:space="0" w:color="auto" w:frame="1"/>
        </w:rPr>
        <w:t>,</w:t>
      </w:r>
      <w:r>
        <w:rPr>
          <w:rStyle w:val="apple-converted-space"/>
          <w:rFonts w:ascii="Trebuchet MS" w:hAnsi="Trebuchet MS"/>
          <w:color w:val="333333"/>
          <w:sz w:val="22"/>
          <w:szCs w:val="22"/>
        </w:rPr>
        <w:t> </w:t>
      </w:r>
      <w:r>
        <w:rPr>
          <w:rFonts w:ascii="Trebuchet MS" w:hAnsi="Trebuchet MS"/>
          <w:color w:val="333333"/>
          <w:sz w:val="22"/>
          <w:szCs w:val="22"/>
        </w:rPr>
        <w:t>London, 1798, p. 163, cité par Meckel,</w:t>
      </w:r>
      <w:r>
        <w:rPr>
          <w:rStyle w:val="apple-converted-space"/>
          <w:rFonts w:ascii="Trebuchet MS" w:hAnsi="Trebuchet MS"/>
          <w:color w:val="333333"/>
          <w:sz w:val="22"/>
          <w:szCs w:val="22"/>
        </w:rPr>
        <w:t> </w:t>
      </w:r>
      <w:r>
        <w:rPr>
          <w:rFonts w:ascii="Trebuchet MS" w:hAnsi="Trebuchet MS"/>
          <w:i/>
          <w:iCs/>
          <w:color w:val="333333"/>
          <w:sz w:val="22"/>
          <w:szCs w:val="22"/>
          <w:bdr w:val="none" w:sz="0" w:space="0" w:color="auto" w:frame="1"/>
        </w:rPr>
        <w:t>Manuel d’anatomie,</w:t>
      </w:r>
      <w:r>
        <w:rPr>
          <w:rStyle w:val="apple-converted-space"/>
          <w:rFonts w:ascii="Trebuchet MS" w:hAnsi="Trebuchet MS"/>
          <w:color w:val="333333"/>
          <w:sz w:val="22"/>
          <w:szCs w:val="22"/>
        </w:rPr>
        <w:t> </w:t>
      </w:r>
      <w:r>
        <w:rPr>
          <w:rFonts w:ascii="Trebuchet MS" w:hAnsi="Trebuchet MS"/>
          <w:color w:val="333333"/>
          <w:sz w:val="22"/>
          <w:szCs w:val="22"/>
        </w:rPr>
        <w:t xml:space="preserve">trad. </w:t>
      </w:r>
      <w:proofErr w:type="spellStart"/>
      <w:r>
        <w:rPr>
          <w:rFonts w:ascii="Trebuchet MS" w:hAnsi="Trebuchet MS"/>
          <w:color w:val="333333"/>
          <w:sz w:val="22"/>
          <w:szCs w:val="22"/>
        </w:rPr>
        <w:t>fr</w:t>
      </w:r>
      <w:proofErr w:type="spellEnd"/>
      <w:r>
        <w:rPr>
          <w:rFonts w:ascii="Trebuchet MS" w:hAnsi="Trebuchet MS"/>
          <w:color w:val="333333"/>
          <w:sz w:val="22"/>
          <w:szCs w:val="22"/>
        </w:rPr>
        <w:t xml:space="preserve">., Paris, 1825, in-8°, t. I, p. 691), qu’un crâne de nègre fut comparé avec 36 crânes d’Européens de la manière suivante : on versa de l’eau dans le trou occipital après avoir bouché tant bien que mal les autres ouvertures, et on s’assura ainsi que le crâne de l’Ethiopien contenait moins d’eau que tous les autres. Mais il ne paraît pas qu’on ait cherché à préciser la différence de capacité ; cela eût été d’ailleurs peu significatif, puisqu’on n’avait examiné qu’un seul crâne de nègre. </w:t>
      </w:r>
      <w:proofErr w:type="spellStart"/>
      <w:r>
        <w:rPr>
          <w:rFonts w:ascii="Trebuchet MS" w:hAnsi="Trebuchet MS"/>
          <w:color w:val="333333"/>
          <w:sz w:val="22"/>
          <w:szCs w:val="22"/>
        </w:rPr>
        <w:t>Virey</w:t>
      </w:r>
      <w:proofErr w:type="spellEnd"/>
      <w:r>
        <w:rPr>
          <w:rStyle w:val="apple-converted-space"/>
          <w:rFonts w:ascii="Trebuchet MS" w:hAnsi="Trebuchet MS"/>
          <w:color w:val="333333"/>
          <w:sz w:val="22"/>
          <w:szCs w:val="22"/>
        </w:rPr>
        <w:t> </w:t>
      </w:r>
      <w:r>
        <w:rPr>
          <w:rFonts w:ascii="Trebuchet MS" w:hAnsi="Trebuchet MS"/>
          <w:color w:val="333333"/>
          <w:sz w:val="22"/>
          <w:szCs w:val="22"/>
          <w:bdr w:val="none" w:sz="0" w:space="0" w:color="auto" w:frame="1"/>
        </w:rPr>
        <w:t xml:space="preserve">et </w:t>
      </w:r>
      <w:proofErr w:type="spellStart"/>
      <w:r>
        <w:rPr>
          <w:rFonts w:ascii="Trebuchet MS" w:hAnsi="Trebuchet MS"/>
          <w:color w:val="333333"/>
          <w:sz w:val="22"/>
          <w:szCs w:val="22"/>
          <w:bdr w:val="none" w:sz="0" w:space="0" w:color="auto" w:frame="1"/>
        </w:rPr>
        <w:t>Palissot</w:t>
      </w:r>
      <w:proofErr w:type="spellEnd"/>
      <w:r>
        <w:rPr>
          <w:rFonts w:ascii="Trebuchet MS" w:hAnsi="Trebuchet MS"/>
          <w:color w:val="333333"/>
          <w:sz w:val="22"/>
          <w:szCs w:val="22"/>
          <w:bdr w:val="none" w:sz="0" w:space="0" w:color="auto" w:frame="1"/>
        </w:rPr>
        <w:t xml:space="preserve"> de </w:t>
      </w:r>
      <w:proofErr w:type="spellStart"/>
      <w:r>
        <w:rPr>
          <w:rFonts w:ascii="Trebuchet MS" w:hAnsi="Trebuchet MS"/>
          <w:color w:val="333333"/>
          <w:sz w:val="22"/>
          <w:szCs w:val="22"/>
          <w:bdr w:val="none" w:sz="0" w:space="0" w:color="auto" w:frame="1"/>
        </w:rPr>
        <w:t>Beauvois</w:t>
      </w:r>
      <w:proofErr w:type="spellEnd"/>
      <w:r>
        <w:rPr>
          <w:rFonts w:ascii="Trebuchet MS" w:hAnsi="Trebuchet MS"/>
          <w:color w:val="333333"/>
          <w:sz w:val="22"/>
          <w:szCs w:val="22"/>
          <w:bdr w:val="none" w:sz="0" w:space="0" w:color="auto" w:frame="1"/>
        </w:rPr>
        <w:t>, ayant répété l’expérience sur de plus larges bases, reconnurent que le crâne des blancs pouvait contenir en moyenne 9 onces de liquide de plus que celui des nègres ; c’était, d’après leurs mensurations, une différence d’environ 1/9, ou de 11 pour 100</w:t>
      </w:r>
      <w:r>
        <w:rPr>
          <w:rStyle w:val="apple-converted-space"/>
          <w:rFonts w:ascii="Trebuchet MS" w:hAnsi="Trebuchet MS"/>
          <w:color w:val="333333"/>
          <w:sz w:val="22"/>
          <w:szCs w:val="22"/>
          <w:bdr w:val="none" w:sz="0" w:space="0" w:color="auto" w:frame="1"/>
        </w:rPr>
        <w:t> </w:t>
      </w:r>
      <w:r>
        <w:rPr>
          <w:rFonts w:ascii="Trebuchet MS" w:hAnsi="Trebuchet MS"/>
          <w:i/>
          <w:iCs/>
          <w:color w:val="333333"/>
          <w:sz w:val="22"/>
          <w:szCs w:val="22"/>
          <w:bdr w:val="none" w:sz="0" w:space="0" w:color="auto" w:frame="1"/>
        </w:rPr>
        <w:t>(Dict. des sciences médicales,</w:t>
      </w:r>
      <w:r>
        <w:rPr>
          <w:rStyle w:val="apple-converted-space"/>
          <w:rFonts w:ascii="Trebuchet MS" w:hAnsi="Trebuchet MS"/>
          <w:color w:val="333333"/>
          <w:sz w:val="22"/>
          <w:szCs w:val="22"/>
          <w:bdr w:val="none" w:sz="0" w:space="0" w:color="auto" w:frame="1"/>
        </w:rPr>
        <w:t> </w:t>
      </w:r>
      <w:r>
        <w:rPr>
          <w:rFonts w:ascii="Trebuchet MS" w:hAnsi="Trebuchet MS"/>
          <w:color w:val="333333"/>
          <w:sz w:val="22"/>
          <w:szCs w:val="22"/>
          <w:bdr w:val="none" w:sz="0" w:space="0" w:color="auto" w:frame="1"/>
        </w:rPr>
        <w:t>art.</w:t>
      </w:r>
      <w:r>
        <w:rPr>
          <w:rStyle w:val="apple-converted-space"/>
          <w:rFonts w:ascii="Trebuchet MS" w:hAnsi="Trebuchet MS"/>
          <w:color w:val="333333"/>
          <w:sz w:val="22"/>
          <w:szCs w:val="22"/>
          <w:bdr w:val="none" w:sz="0" w:space="0" w:color="auto" w:frame="1"/>
        </w:rPr>
        <w:t> </w:t>
      </w:r>
      <w:r>
        <w:rPr>
          <w:rFonts w:ascii="Trebuchet MS" w:hAnsi="Trebuchet MS"/>
          <w:smallCaps/>
          <w:color w:val="333333"/>
          <w:sz w:val="22"/>
          <w:szCs w:val="22"/>
          <w:bdr w:val="none" w:sz="0" w:space="0" w:color="auto" w:frame="1"/>
        </w:rPr>
        <w:t>Nègre,</w:t>
      </w:r>
      <w:r>
        <w:rPr>
          <w:rStyle w:val="apple-converted-space"/>
          <w:rFonts w:ascii="Trebuchet MS" w:hAnsi="Trebuchet MS"/>
          <w:color w:val="333333"/>
          <w:sz w:val="22"/>
          <w:szCs w:val="22"/>
          <w:bdr w:val="none" w:sz="0" w:space="0" w:color="auto" w:frame="1"/>
        </w:rPr>
        <w:t> </w:t>
      </w:r>
      <w:r>
        <w:rPr>
          <w:rFonts w:ascii="Trebuchet MS" w:hAnsi="Trebuchet MS"/>
          <w:color w:val="333333"/>
          <w:sz w:val="22"/>
          <w:szCs w:val="22"/>
          <w:bdr w:val="none" w:sz="0" w:space="0" w:color="auto" w:frame="1"/>
        </w:rPr>
        <w:t>t. XXXV, p. 389).</w:t>
      </w:r>
    </w:p>
    <w:p w:rsidR="00E843C3" w:rsidRDefault="00E843C3" w:rsidP="00E843C3">
      <w:pPr>
        <w:pStyle w:val="gtxtbody"/>
        <w:shd w:val="clear" w:color="auto" w:fill="FFFFFF"/>
        <w:spacing w:before="0" w:beforeAutospacing="0" w:after="0" w:afterAutospacing="0"/>
        <w:jc w:val="both"/>
        <w:textAlignment w:val="baseline"/>
        <w:rPr>
          <w:rFonts w:ascii="Trebuchet MS" w:hAnsi="Trebuchet MS"/>
          <w:color w:val="333333"/>
          <w:sz w:val="22"/>
          <w:szCs w:val="22"/>
        </w:rPr>
      </w:pPr>
      <w:r>
        <w:rPr>
          <w:rFonts w:ascii="Trebuchet MS" w:hAnsi="Trebuchet MS"/>
          <w:color w:val="333333"/>
          <w:sz w:val="22"/>
          <w:szCs w:val="22"/>
        </w:rPr>
        <w:t xml:space="preserve">Ce procédé était d’une application tellement difficile, il fallait des précautions tellement minutieuses pour transformer en vase clos la cavité du crâne, qu’il parut nécessaire de chercher un autre moyen plus pratique ; mais il faut avouer que </w:t>
      </w:r>
      <w:proofErr w:type="spellStart"/>
      <w:r>
        <w:rPr>
          <w:rFonts w:ascii="Trebuchet MS" w:hAnsi="Trebuchet MS"/>
          <w:color w:val="333333"/>
          <w:sz w:val="22"/>
          <w:szCs w:val="22"/>
        </w:rPr>
        <w:t>Tiedemann</w:t>
      </w:r>
      <w:proofErr w:type="spellEnd"/>
      <w:r>
        <w:rPr>
          <w:rFonts w:ascii="Trebuchet MS" w:hAnsi="Trebuchet MS"/>
          <w:color w:val="333333"/>
          <w:sz w:val="22"/>
          <w:szCs w:val="22"/>
        </w:rPr>
        <w:t xml:space="preserve"> fut bien mal inspiré lorsqu’il imagina de mesurer avec des grains de millet la capacité de la boîte crânienne. Cet anatomiste, après avoir tamponné les orbites avec du coton, versait du mil par le trou occipital, en ayant soin de frapper de petits coups sur le crâne pour tasser cette substance légère; puis </w:t>
      </w:r>
      <w:proofErr w:type="spellStart"/>
      <w:r>
        <w:rPr>
          <w:rFonts w:ascii="Trebuchet MS" w:hAnsi="Trebuchet MS"/>
          <w:color w:val="333333"/>
          <w:sz w:val="22"/>
          <w:szCs w:val="22"/>
        </w:rPr>
        <w:t>il</w:t>
      </w:r>
      <w:r>
        <w:rPr>
          <w:rFonts w:ascii="Trebuchet MS" w:hAnsi="Trebuchet MS"/>
          <w:i/>
          <w:iCs/>
          <w:color w:val="333333"/>
          <w:sz w:val="22"/>
          <w:szCs w:val="22"/>
          <w:bdr w:val="none" w:sz="0" w:space="0" w:color="auto" w:frame="1"/>
        </w:rPr>
        <w:t>pesait</w:t>
      </w:r>
      <w:proofErr w:type="spellEnd"/>
      <w:r>
        <w:rPr>
          <w:rStyle w:val="apple-converted-space"/>
          <w:rFonts w:ascii="Trebuchet MS" w:hAnsi="Trebuchet MS"/>
          <w:color w:val="333333"/>
          <w:sz w:val="22"/>
          <w:szCs w:val="22"/>
        </w:rPr>
        <w:t> </w:t>
      </w:r>
      <w:r>
        <w:rPr>
          <w:rFonts w:ascii="Trebuchet MS" w:hAnsi="Trebuchet MS"/>
          <w:color w:val="333333"/>
          <w:sz w:val="22"/>
          <w:szCs w:val="22"/>
        </w:rPr>
        <w:t xml:space="preserve">la quantité de mil qu’il y avait introduite. Ayant mesuré, ou cru mesurer par ce moyen la capacité de 41 crânes éthiopiens et de 11 crânes caucasiques, M. </w:t>
      </w:r>
      <w:proofErr w:type="spellStart"/>
      <w:r>
        <w:rPr>
          <w:rFonts w:ascii="Trebuchet MS" w:hAnsi="Trebuchet MS"/>
          <w:color w:val="333333"/>
          <w:sz w:val="22"/>
          <w:szCs w:val="22"/>
        </w:rPr>
        <w:t>Tiedemann</w:t>
      </w:r>
      <w:proofErr w:type="spellEnd"/>
      <w:r>
        <w:rPr>
          <w:rFonts w:ascii="Trebuchet MS" w:hAnsi="Trebuchet MS"/>
          <w:color w:val="333333"/>
          <w:sz w:val="22"/>
          <w:szCs w:val="22"/>
        </w:rPr>
        <w:t xml:space="preserve"> eut la satisfaction de pouvoir annoncer que le volume du cerveau était le même dans les deux races. Aucune expérience n’a eu plus de célébrité que celle-là, parce qu’elle fournissait un argument bien précieux aux partisans de l’égalité des races. Il était impossible pourtant d’inventer un procédé plus trompeur, par ce double motif que le poids spécifique du mil est très-variable, et que la quantité de grains qu’on peut introduire dans un vase,</w:t>
      </w:r>
      <w:r>
        <w:rPr>
          <w:rStyle w:val="apple-converted-space"/>
          <w:rFonts w:ascii="Trebuchet MS" w:hAnsi="Trebuchet MS"/>
          <w:color w:val="333333"/>
          <w:sz w:val="22"/>
          <w:szCs w:val="22"/>
        </w:rPr>
        <w:t> </w:t>
      </w:r>
      <w:r>
        <w:rPr>
          <w:rFonts w:ascii="Trebuchet MS" w:hAnsi="Trebuchet MS"/>
          <w:i/>
          <w:iCs/>
          <w:color w:val="333333"/>
          <w:sz w:val="22"/>
          <w:szCs w:val="22"/>
          <w:bdr w:val="none" w:sz="0" w:space="0" w:color="auto" w:frame="1"/>
        </w:rPr>
        <w:t>en frappant plus ou moins fort et plus ou moins longtemps</w:t>
      </w:r>
      <w:r>
        <w:rPr>
          <w:rFonts w:ascii="Trebuchet MS" w:hAnsi="Trebuchet MS"/>
          <w:color w:val="333333"/>
          <w:sz w:val="22"/>
          <w:szCs w:val="22"/>
        </w:rPr>
        <w:t xml:space="preserve">, est plus variable encore. M. Gratiolet a donc eu grandement raison de repousser le procédé de M. </w:t>
      </w:r>
      <w:proofErr w:type="spellStart"/>
      <w:r>
        <w:rPr>
          <w:rFonts w:ascii="Trebuchet MS" w:hAnsi="Trebuchet MS"/>
          <w:color w:val="333333"/>
          <w:sz w:val="22"/>
          <w:szCs w:val="22"/>
        </w:rPr>
        <w:t>Tiedemann</w:t>
      </w:r>
      <w:proofErr w:type="spellEnd"/>
      <w:r>
        <w:rPr>
          <w:rFonts w:ascii="Trebuchet MS" w:hAnsi="Trebuchet MS"/>
          <w:color w:val="333333"/>
          <w:sz w:val="22"/>
          <w:szCs w:val="22"/>
        </w:rPr>
        <w:t>, mais il a paru récuser en même temps la valeur des autres procédés de mensuration, et ici je ne puis plus être de son avis ; car il y a un moyen qui est dû au célèbre Morton, et qui permet</w:t>
      </w:r>
      <w:r>
        <w:rPr>
          <w:rStyle w:val="apple-converted-space"/>
          <w:rFonts w:ascii="Trebuchet MS" w:hAnsi="Trebuchet MS"/>
          <w:color w:val="333333"/>
          <w:sz w:val="22"/>
          <w:szCs w:val="22"/>
        </w:rPr>
        <w:t> </w:t>
      </w:r>
      <w:r>
        <w:rPr>
          <w:rFonts w:ascii="Trebuchet MS" w:hAnsi="Trebuchet MS"/>
          <w:color w:val="333333"/>
          <w:sz w:val="22"/>
          <w:szCs w:val="22"/>
          <w:bdr w:val="none" w:sz="0" w:space="0" w:color="auto" w:frame="1"/>
        </w:rPr>
        <w:t>d’évaluer</w:t>
      </w:r>
      <w:r>
        <w:rPr>
          <w:rStyle w:val="apple-converted-space"/>
          <w:rFonts w:ascii="Trebuchet MS" w:hAnsi="Trebuchet MS"/>
          <w:color w:val="333333"/>
          <w:sz w:val="22"/>
          <w:szCs w:val="22"/>
          <w:bdr w:val="none" w:sz="0" w:space="0" w:color="auto" w:frame="1"/>
        </w:rPr>
        <w:t> </w:t>
      </w:r>
      <w:r>
        <w:rPr>
          <w:rFonts w:ascii="Trebuchet MS" w:hAnsi="Trebuchet MS"/>
          <w:i/>
          <w:iCs/>
          <w:color w:val="333333"/>
          <w:sz w:val="22"/>
          <w:szCs w:val="22"/>
          <w:bdr w:val="none" w:sz="0" w:space="0" w:color="auto" w:frame="1"/>
        </w:rPr>
        <w:t>en mesure cubique</w:t>
      </w:r>
      <w:r>
        <w:rPr>
          <w:rFonts w:ascii="Trebuchet MS" w:hAnsi="Trebuchet MS"/>
          <w:color w:val="333333"/>
          <w:sz w:val="22"/>
          <w:szCs w:val="22"/>
          <w:bdr w:val="none" w:sz="0" w:space="0" w:color="auto" w:frame="1"/>
        </w:rPr>
        <w:t>, avec une précision presque rigoureuse, non-seulement la capacité relative, mais encore la capacité</w:t>
      </w:r>
      <w:r>
        <w:rPr>
          <w:rStyle w:val="apple-converted-space"/>
          <w:rFonts w:ascii="Trebuchet MS" w:hAnsi="Trebuchet MS"/>
          <w:color w:val="333333"/>
          <w:sz w:val="22"/>
          <w:szCs w:val="22"/>
          <w:bdr w:val="none" w:sz="0" w:space="0" w:color="auto" w:frame="1"/>
        </w:rPr>
        <w:t> </w:t>
      </w:r>
      <w:r>
        <w:rPr>
          <w:rFonts w:ascii="Trebuchet MS" w:hAnsi="Trebuchet MS"/>
          <w:i/>
          <w:iCs/>
          <w:color w:val="333333"/>
          <w:sz w:val="22"/>
          <w:szCs w:val="22"/>
          <w:bdr w:val="none" w:sz="0" w:space="0" w:color="auto" w:frame="1"/>
        </w:rPr>
        <w:t>absolue</w:t>
      </w:r>
      <w:r>
        <w:rPr>
          <w:rStyle w:val="apple-converted-space"/>
          <w:rFonts w:ascii="Trebuchet MS" w:hAnsi="Trebuchet MS"/>
          <w:color w:val="333333"/>
          <w:sz w:val="22"/>
          <w:szCs w:val="22"/>
          <w:bdr w:val="none" w:sz="0" w:space="0" w:color="auto" w:frame="1"/>
        </w:rPr>
        <w:t> </w:t>
      </w:r>
      <w:r>
        <w:rPr>
          <w:rFonts w:ascii="Trebuchet MS" w:hAnsi="Trebuchet MS"/>
          <w:color w:val="333333"/>
          <w:sz w:val="22"/>
          <w:szCs w:val="22"/>
          <w:bdr w:val="none" w:sz="0" w:space="0" w:color="auto" w:frame="1"/>
        </w:rPr>
        <w:t>des crânes.</w:t>
      </w:r>
    </w:p>
    <w:p w:rsidR="00E843C3" w:rsidRDefault="00E843C3" w:rsidP="00E843C3">
      <w:pPr>
        <w:pStyle w:val="gtxtbody"/>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t>Ce moyen consiste à tamponner avec du coton toutes les ouvertures, excepté le trou occipital, et à remplir le crâne de petit plomb de chasse, à grains parfaitement égaux. Lorsque le crâne est plein, on le vide dans un cylindre gradué, dont chaque division correspond à une mesure cubique déterminée, et il ne s’agit plus que de compter les degrés pour connaître la capacité du crâne examiné. Les différences qu’on obtient en mesurant plusieurs fois de suite le même crâne sont toujours inférieures au centième du volume total ; c’est un degré de précision parfaitement suffisant.</w:t>
      </w:r>
    </w:p>
    <w:p w:rsidR="00E843C3" w:rsidRDefault="00E843C3" w:rsidP="00E843C3">
      <w:pPr>
        <w:pStyle w:val="gtxtbody"/>
        <w:shd w:val="clear" w:color="auto" w:fill="FFFFFF"/>
        <w:spacing w:before="0" w:beforeAutospacing="0" w:after="0" w:afterAutospacing="0"/>
        <w:jc w:val="both"/>
        <w:textAlignment w:val="baseline"/>
        <w:rPr>
          <w:rFonts w:ascii="Trebuchet MS" w:hAnsi="Trebuchet MS"/>
          <w:color w:val="333333"/>
          <w:sz w:val="22"/>
          <w:szCs w:val="22"/>
        </w:rPr>
      </w:pPr>
      <w:r>
        <w:rPr>
          <w:rFonts w:ascii="Trebuchet MS" w:hAnsi="Trebuchet MS"/>
          <w:color w:val="333333"/>
          <w:sz w:val="22"/>
          <w:szCs w:val="22"/>
        </w:rPr>
        <w:t xml:space="preserve">Morton, au moment de sa mort, avait déjà inscrit sur le catalogue de sa grande collection </w:t>
      </w:r>
      <w:proofErr w:type="gramStart"/>
      <w:r>
        <w:rPr>
          <w:rFonts w:ascii="Trebuchet MS" w:hAnsi="Trebuchet MS"/>
          <w:color w:val="333333"/>
          <w:sz w:val="22"/>
          <w:szCs w:val="22"/>
        </w:rPr>
        <w:t>les résultat</w:t>
      </w:r>
      <w:proofErr w:type="gramEnd"/>
      <w:r>
        <w:rPr>
          <w:rFonts w:ascii="Trebuchet MS" w:hAnsi="Trebuchet MS"/>
          <w:color w:val="333333"/>
          <w:sz w:val="22"/>
          <w:szCs w:val="22"/>
        </w:rPr>
        <w:t xml:space="preserve"> des mesures cubiques de 623 crânes de diverses races. Ces documents précieux ont été publiés par notre collègue M. </w:t>
      </w:r>
      <w:proofErr w:type="spellStart"/>
      <w:r>
        <w:rPr>
          <w:rFonts w:ascii="Trebuchet MS" w:hAnsi="Trebuchet MS"/>
          <w:color w:val="333333"/>
          <w:sz w:val="22"/>
          <w:szCs w:val="22"/>
        </w:rPr>
        <w:t>Aitken</w:t>
      </w:r>
      <w:proofErr w:type="spellEnd"/>
      <w:r>
        <w:rPr>
          <w:rFonts w:ascii="Trebuchet MS" w:hAnsi="Trebuchet MS"/>
          <w:color w:val="333333"/>
          <w:sz w:val="22"/>
          <w:szCs w:val="22"/>
        </w:rPr>
        <w:t xml:space="preserve"> </w:t>
      </w:r>
      <w:proofErr w:type="spellStart"/>
      <w:r>
        <w:rPr>
          <w:rFonts w:ascii="Trebuchet MS" w:hAnsi="Trebuchet MS"/>
          <w:color w:val="333333"/>
          <w:sz w:val="22"/>
          <w:szCs w:val="22"/>
        </w:rPr>
        <w:t>Meigs</w:t>
      </w:r>
      <w:proofErr w:type="spellEnd"/>
      <w:r>
        <w:rPr>
          <w:rFonts w:ascii="Trebuchet MS" w:hAnsi="Trebuchet MS"/>
          <w:color w:val="333333"/>
          <w:sz w:val="22"/>
          <w:szCs w:val="22"/>
        </w:rPr>
        <w:t xml:space="preserve">, qui y a joint les mesures prises sur 40 autres crânes. Cela donne le chiffre imposant de 663 crânes dont la capacité a été mesurée avec une exactitude scrupuleuse, et qui appartiennent aujourd’hui à l’Académie des sciences naturelles de Philadelphie. J’extrais les chiffres suivants du tableau publié par M. </w:t>
      </w:r>
      <w:proofErr w:type="spellStart"/>
      <w:r>
        <w:rPr>
          <w:rFonts w:ascii="Trebuchet MS" w:hAnsi="Trebuchet MS"/>
          <w:color w:val="333333"/>
          <w:sz w:val="22"/>
          <w:szCs w:val="22"/>
        </w:rPr>
        <w:t>Meigs</w:t>
      </w:r>
      <w:proofErr w:type="spellEnd"/>
      <w:r>
        <w:rPr>
          <w:rFonts w:ascii="Trebuchet MS" w:hAnsi="Trebuchet MS"/>
          <w:color w:val="333333"/>
          <w:sz w:val="22"/>
          <w:szCs w:val="22"/>
        </w:rPr>
        <w:t>, en tète du</w:t>
      </w:r>
      <w:r>
        <w:rPr>
          <w:rStyle w:val="apple-converted-space"/>
          <w:rFonts w:ascii="Trebuchet MS" w:hAnsi="Trebuchet MS"/>
          <w:color w:val="333333"/>
          <w:sz w:val="22"/>
          <w:szCs w:val="22"/>
        </w:rPr>
        <w:t> </w:t>
      </w:r>
      <w:r>
        <w:rPr>
          <w:rFonts w:ascii="Trebuchet MS" w:hAnsi="Trebuchet MS"/>
          <w:i/>
          <w:iCs/>
          <w:color w:val="333333"/>
          <w:sz w:val="22"/>
          <w:szCs w:val="22"/>
          <w:bdr w:val="none" w:sz="0" w:space="0" w:color="auto" w:frame="1"/>
        </w:rPr>
        <w:t>Catalogue</w:t>
      </w:r>
      <w:r>
        <w:rPr>
          <w:rStyle w:val="apple-converted-space"/>
          <w:rFonts w:ascii="Trebuchet MS" w:hAnsi="Trebuchet MS"/>
          <w:color w:val="333333"/>
          <w:sz w:val="22"/>
          <w:szCs w:val="22"/>
        </w:rPr>
        <w:t> </w:t>
      </w:r>
      <w:r>
        <w:rPr>
          <w:rFonts w:ascii="Trebuchet MS" w:hAnsi="Trebuchet MS"/>
          <w:color w:val="333333"/>
          <w:sz w:val="22"/>
          <w:szCs w:val="22"/>
        </w:rPr>
        <w:t xml:space="preserve">de la collection de cette Académie (Philadelphie, 1857, in-8°, p. 17), et reproduits à la page 257 du grand ouvrage de MM. </w:t>
      </w:r>
      <w:r w:rsidRPr="00E843C3">
        <w:rPr>
          <w:rFonts w:ascii="Trebuchet MS" w:hAnsi="Trebuchet MS"/>
          <w:color w:val="333333"/>
          <w:sz w:val="22"/>
          <w:szCs w:val="22"/>
          <w:lang w:val="en-US"/>
        </w:rPr>
        <w:t xml:space="preserve">Nott et </w:t>
      </w:r>
      <w:proofErr w:type="spellStart"/>
      <w:r w:rsidRPr="00E843C3">
        <w:rPr>
          <w:rFonts w:ascii="Trebuchet MS" w:hAnsi="Trebuchet MS"/>
          <w:color w:val="333333"/>
          <w:sz w:val="22"/>
          <w:szCs w:val="22"/>
          <w:lang w:val="en-US"/>
        </w:rPr>
        <w:t>Gliddon</w:t>
      </w:r>
      <w:proofErr w:type="spellEnd"/>
      <w:r w:rsidRPr="00E843C3">
        <w:rPr>
          <w:rFonts w:ascii="Trebuchet MS" w:hAnsi="Trebuchet MS"/>
          <w:color w:val="333333"/>
          <w:sz w:val="22"/>
          <w:szCs w:val="22"/>
          <w:lang w:val="en-US"/>
        </w:rPr>
        <w:t xml:space="preserve"> :</w:t>
      </w:r>
      <w:r w:rsidRPr="00E843C3">
        <w:rPr>
          <w:rStyle w:val="apple-converted-space"/>
          <w:rFonts w:ascii="Trebuchet MS" w:hAnsi="Trebuchet MS"/>
          <w:color w:val="333333"/>
          <w:sz w:val="22"/>
          <w:szCs w:val="22"/>
          <w:lang w:val="en-US"/>
        </w:rPr>
        <w:t> </w:t>
      </w:r>
      <w:r w:rsidRPr="00E843C3">
        <w:rPr>
          <w:rFonts w:ascii="Trebuchet MS" w:hAnsi="Trebuchet MS"/>
          <w:i/>
          <w:iCs/>
          <w:color w:val="333333"/>
          <w:sz w:val="22"/>
          <w:szCs w:val="22"/>
          <w:bdr w:val="none" w:sz="0" w:space="0" w:color="auto" w:frame="1"/>
          <w:lang w:val="en-US"/>
        </w:rPr>
        <w:t>Indigenous Races of the earth ;</w:t>
      </w:r>
      <w:r w:rsidRPr="00E843C3">
        <w:rPr>
          <w:rStyle w:val="apple-converted-space"/>
          <w:rFonts w:ascii="Trebuchet MS" w:hAnsi="Trebuchet MS"/>
          <w:color w:val="333333"/>
          <w:sz w:val="22"/>
          <w:szCs w:val="22"/>
          <w:lang w:val="en-US"/>
        </w:rPr>
        <w:t> </w:t>
      </w:r>
      <w:proofErr w:type="spellStart"/>
      <w:r w:rsidRPr="00E843C3">
        <w:rPr>
          <w:rFonts w:ascii="Trebuchet MS" w:hAnsi="Trebuchet MS"/>
          <w:color w:val="333333"/>
          <w:sz w:val="22"/>
          <w:szCs w:val="22"/>
          <w:lang w:val="en-US"/>
        </w:rPr>
        <w:t>Philadelphie</w:t>
      </w:r>
      <w:proofErr w:type="spellEnd"/>
      <w:r w:rsidRPr="00E843C3">
        <w:rPr>
          <w:rFonts w:ascii="Trebuchet MS" w:hAnsi="Trebuchet MS"/>
          <w:color w:val="333333"/>
          <w:sz w:val="22"/>
          <w:szCs w:val="22"/>
          <w:lang w:val="en-US"/>
        </w:rPr>
        <w:t xml:space="preserve">, 1857, in-8°. </w:t>
      </w:r>
      <w:r>
        <w:rPr>
          <w:rFonts w:ascii="Trebuchet MS" w:hAnsi="Trebuchet MS"/>
          <w:color w:val="333333"/>
          <w:sz w:val="22"/>
          <w:szCs w:val="22"/>
        </w:rPr>
        <w:t>J’ai réduit les mesures anglaises en mesures françaises. Le pouce anglais vaut 2,5399 centimètres ; le pouce cube vaut donc 16,386 centimètres cubes.</w:t>
      </w:r>
    </w:p>
    <w:p w:rsidR="00E843C3" w:rsidRDefault="00E843C3" w:rsidP="00E843C3">
      <w:pPr>
        <w:pStyle w:val="gtxtbody"/>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lastRenderedPageBreak/>
        <w:t xml:space="preserve">Le tableau renferme 38 crânes de race teutonique ou germanique, savoir : 11 suédois, 15 allemands, 5 anglais, 7 anglo-américains. La moyenne la plus élevée est celle des Anglais, 1572,95 centimètres cubes ; la moins élevée est celle des </w:t>
      </w:r>
      <w:proofErr w:type="spellStart"/>
      <w:r>
        <w:rPr>
          <w:rFonts w:ascii="Trebuchet MS" w:hAnsi="Trebuchet MS"/>
          <w:color w:val="333333"/>
          <w:sz w:val="22"/>
          <w:szCs w:val="22"/>
        </w:rPr>
        <w:t>Anglo-Américains</w:t>
      </w:r>
      <w:proofErr w:type="spellEnd"/>
      <w:r>
        <w:rPr>
          <w:rFonts w:ascii="Trebuchet MS" w:hAnsi="Trebuchet MS"/>
          <w:color w:val="333333"/>
          <w:sz w:val="22"/>
          <w:szCs w:val="22"/>
        </w:rPr>
        <w:t>, 1474,65 centimètres cubes; la moyenne générale des 38 crânes est 1534,127 centimètres cubes.</w:t>
      </w:r>
    </w:p>
    <w:p w:rsidR="00E843C3" w:rsidRDefault="00E843C3" w:rsidP="00E843C3">
      <w:pPr>
        <w:pStyle w:val="gtxtbody"/>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t>Les crânes des indigènes d’Amérique sont au nombre de 341, savoir : 152 péruviens, moyenne 1235,78; 25 mexicains, moyenne 1338,65; et 164 indiens sauvages, moyenne 1376,71. La moyenne générale de ces crânes américains est 1315,71. On remarquera que les tribus sauvages ont le crâne plus grand que les Mexicains, et surtout que les Péruviens. Mais les crânes de ces derniers, provenant d’anciennes sépultures, sont pour la plupart artificiellement déformés, et on sait que les déformations sont de nature à diminuer la capacité crânienne.</w:t>
      </w:r>
    </w:p>
    <w:p w:rsidR="00E843C3" w:rsidRDefault="00E843C3" w:rsidP="00E843C3">
      <w:pPr>
        <w:pStyle w:val="gtxtbody"/>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t>Il y a sur le tableau 76 nègres, dont 64 sont nés en Afrique et 12 en Amérique. La capacité moyenne du crâne chez les premiers est de 1371,42, chez les autres de 1323,90, seulement. Il semble que la condition de l’esclavage ait porté atteinte au volume de l’encéphale. Nous prendrons donc pour la moyenne des crânes éthiopiens la moyenne normale, qui est aussi la plus élevée.</w:t>
      </w:r>
    </w:p>
    <w:p w:rsidR="00E843C3" w:rsidRDefault="00E843C3" w:rsidP="00E843C3">
      <w:pPr>
        <w:pStyle w:val="gtxtbody"/>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t>Enfin, la capacité moyenne du crâne est descendue à 1253,45 chez 2 nègres océaniens, à 1233,78 chez 3 Hottentots, et à 1228,27 chez 8 Australiens.</w:t>
      </w:r>
    </w:p>
    <w:p w:rsidR="00E843C3" w:rsidRDefault="00E843C3" w:rsidP="00E843C3">
      <w:pPr>
        <w:pStyle w:val="gtxtbody"/>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t xml:space="preserve">Si maintenant nous comparons le chiffre de 1534,127 centimètres cubes, moyenne des races germaniques, au chiffre de 1371,42, moyenne des nègres d’Afrique, nous trouvons que, la capacité crânienne des nègres étant représentée par 100, celle des Germains sera égale à 111,8. La différence est de près de 12 pour 100, et ce résultat, comme on voit, s’accorde très-bien avec l’assertion de </w:t>
      </w:r>
      <w:proofErr w:type="spellStart"/>
      <w:r>
        <w:rPr>
          <w:rFonts w:ascii="Trebuchet MS" w:hAnsi="Trebuchet MS"/>
          <w:color w:val="333333"/>
          <w:sz w:val="22"/>
          <w:szCs w:val="22"/>
        </w:rPr>
        <w:t>Virey</w:t>
      </w:r>
      <w:proofErr w:type="spellEnd"/>
      <w:r>
        <w:rPr>
          <w:rFonts w:ascii="Trebuchet MS" w:hAnsi="Trebuchet MS"/>
          <w:color w:val="333333"/>
          <w:sz w:val="22"/>
          <w:szCs w:val="22"/>
        </w:rPr>
        <w:t xml:space="preserve"> et de </w:t>
      </w:r>
      <w:proofErr w:type="spellStart"/>
      <w:r>
        <w:rPr>
          <w:rFonts w:ascii="Trebuchet MS" w:hAnsi="Trebuchet MS"/>
          <w:color w:val="333333"/>
          <w:sz w:val="22"/>
          <w:szCs w:val="22"/>
        </w:rPr>
        <w:t>Palissot</w:t>
      </w:r>
      <w:proofErr w:type="spellEnd"/>
      <w:r>
        <w:rPr>
          <w:rFonts w:ascii="Trebuchet MS" w:hAnsi="Trebuchet MS"/>
          <w:color w:val="333333"/>
          <w:sz w:val="22"/>
          <w:szCs w:val="22"/>
        </w:rPr>
        <w:t xml:space="preserve"> de </w:t>
      </w:r>
      <w:proofErr w:type="spellStart"/>
      <w:r>
        <w:rPr>
          <w:rFonts w:ascii="Trebuchet MS" w:hAnsi="Trebuchet MS"/>
          <w:color w:val="333333"/>
          <w:sz w:val="22"/>
          <w:szCs w:val="22"/>
        </w:rPr>
        <w:t>Beauvois</w:t>
      </w:r>
      <w:proofErr w:type="spellEnd"/>
      <w:r>
        <w:rPr>
          <w:rFonts w:ascii="Trebuchet MS" w:hAnsi="Trebuchet MS"/>
          <w:color w:val="333333"/>
          <w:sz w:val="22"/>
          <w:szCs w:val="22"/>
        </w:rPr>
        <w:t>.</w:t>
      </w:r>
    </w:p>
    <w:p w:rsidR="00E843C3" w:rsidRDefault="00E843C3" w:rsidP="00E843C3">
      <w:pPr>
        <w:pStyle w:val="gtxtbody"/>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t>La différence est à peu près la même entre les crânes des Teutons et ceux des Indiens d’Amérique non déformés. Ces derniers étant représentés par 100, les crânes germaniques s’élèvent à 111,46.</w:t>
      </w:r>
    </w:p>
    <w:p w:rsidR="00E843C3" w:rsidRDefault="00E843C3" w:rsidP="00E843C3">
      <w:pPr>
        <w:pStyle w:val="gtxtbody"/>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t>Descendons maintenant au plus bas degré de l’échelle humaine, et en comparant la malheureuse race australienne aux races d’Europe, nous trouverons de la même manière que le crâne australien est au crâne germanique comme 100 est 124,8.</w:t>
      </w:r>
    </w:p>
    <w:p w:rsidR="00E843C3" w:rsidRDefault="00E843C3" w:rsidP="00E843C3">
      <w:pPr>
        <w:pStyle w:val="gtxtbody"/>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t>On voit que le nègre d’Afrique occupe, sous le rapport de la capacité crânienne, une situation à peu près moyenne entre l’Européen et l’Australien. Le crâne de l’Australien étant 100, celui du nègre d’Afrique est 111,60. Je pense que ces chiffres expriment assez exactement la hiérarchie intellectuelle des trois races.</w:t>
      </w:r>
    </w:p>
    <w:p w:rsidR="00E843C3" w:rsidRDefault="00E843C3" w:rsidP="00E843C3">
      <w:pPr>
        <w:pStyle w:val="gtxtbody"/>
        <w:shd w:val="clear" w:color="auto" w:fill="FFFFFF"/>
        <w:spacing w:before="0" w:beforeAutospacing="0" w:after="0" w:afterAutospacing="0"/>
        <w:jc w:val="both"/>
        <w:textAlignment w:val="baseline"/>
        <w:rPr>
          <w:rFonts w:ascii="Trebuchet MS" w:hAnsi="Trebuchet MS"/>
          <w:color w:val="333333"/>
          <w:sz w:val="22"/>
          <w:szCs w:val="22"/>
        </w:rPr>
      </w:pPr>
      <w:r>
        <w:rPr>
          <w:rFonts w:ascii="Trebuchet MS" w:hAnsi="Trebuchet MS"/>
          <w:color w:val="333333"/>
          <w:sz w:val="22"/>
          <w:szCs w:val="22"/>
        </w:rPr>
        <w:t xml:space="preserve">Certes, je suis très-loin d’en conclure qu’il y ait un rapport absolu entre l’intelligence et la capacité crânienne. Des conditions multiples font varier le volume de l’encéphale dans la même race ; il faut tenir compte des mêmes éléments dans le parallèle des races, et lorsqu’on ne trouve que des différences légères, on n’a le droit </w:t>
      </w:r>
      <w:proofErr w:type="gramStart"/>
      <w:r>
        <w:rPr>
          <w:rFonts w:ascii="Trebuchet MS" w:hAnsi="Trebuchet MS"/>
          <w:color w:val="333333"/>
          <w:sz w:val="22"/>
          <w:szCs w:val="22"/>
        </w:rPr>
        <w:t>d’en</w:t>
      </w:r>
      <w:proofErr w:type="gramEnd"/>
      <w:r>
        <w:rPr>
          <w:rFonts w:ascii="Trebuchet MS" w:hAnsi="Trebuchet MS"/>
          <w:color w:val="333333"/>
          <w:sz w:val="22"/>
          <w:szCs w:val="22"/>
        </w:rPr>
        <w:t xml:space="preserve"> tirer aucune conclusion. Mais lorsque la différence est très-considérable, lorsqu’elle coïncide avec une inégalité intellectuelle tout aussi évidente, on est bien obligé d’établir un rapport entre l’infériorité du cerveau et l’infériorité de l’esprit. Laissons de côté, si l’on veut, les Hottentots à petite taille et les Australiens faméliques aux membres grêles, aux muscles peu vigoureux : on a pu se demander si la </w:t>
      </w:r>
      <w:proofErr w:type="spellStart"/>
      <w:r>
        <w:rPr>
          <w:rFonts w:ascii="Trebuchet MS" w:hAnsi="Trebuchet MS"/>
          <w:color w:val="333333"/>
          <w:sz w:val="22"/>
          <w:szCs w:val="22"/>
        </w:rPr>
        <w:t>petitessse</w:t>
      </w:r>
      <w:proofErr w:type="spellEnd"/>
      <w:r>
        <w:rPr>
          <w:rFonts w:ascii="Trebuchet MS" w:hAnsi="Trebuchet MS"/>
          <w:color w:val="333333"/>
          <w:sz w:val="22"/>
          <w:szCs w:val="22"/>
        </w:rPr>
        <w:t xml:space="preserve"> de leur crâne ne dépendait pas en partie du moindre développement de leur corps. Mais cette explication, que d’ailleurs je n’accepte pas, ne peut être admise pour les nègres. Ils ne sont ni moins grands ni moins forts que nous, ils nous sont même supérieurs sous ce rapport, et leurs sens valent bien les nôtres. On ne peut donc pas suppo</w:t>
      </w:r>
      <w:r>
        <w:rPr>
          <w:rFonts w:ascii="Trebuchet MS" w:hAnsi="Trebuchet MS"/>
          <w:color w:val="333333"/>
          <w:sz w:val="22"/>
          <w:szCs w:val="22"/>
          <w:bdr w:val="none" w:sz="0" w:space="0" w:color="auto" w:frame="1"/>
        </w:rPr>
        <w:t xml:space="preserve">ser que la partie de l’encéphale qui préside aux </w:t>
      </w:r>
      <w:r>
        <w:rPr>
          <w:rFonts w:ascii="Trebuchet MS" w:hAnsi="Trebuchet MS"/>
          <w:color w:val="333333"/>
          <w:sz w:val="22"/>
          <w:szCs w:val="22"/>
          <w:bdr w:val="none" w:sz="0" w:space="0" w:color="auto" w:frame="1"/>
        </w:rPr>
        <w:lastRenderedPageBreak/>
        <w:t>fonctions sensitives et motrices soit moins développée chez eux que chez les blancs ; tout permet de croire, au contraire, qu’elle l’est davantage. On sait, en effet, que le volume relatif de cette partie, par rapport à la masse totale de l’encéphale, est assez exactement indiqué par le volume des nerfs, et surtout des nerfs encéphaliques. De là est venue cette proposition parfaitement formulée par Leuret, que, dans la série des animaux vertébrés, le volume relatif des nerfs encéphaliques est d’autant moindre que l’intelligence est plus développée (Leuret,</w:t>
      </w:r>
      <w:r>
        <w:rPr>
          <w:rStyle w:val="apple-converted-space"/>
          <w:rFonts w:ascii="Trebuchet MS" w:hAnsi="Trebuchet MS"/>
          <w:color w:val="333333"/>
          <w:sz w:val="22"/>
          <w:szCs w:val="22"/>
          <w:bdr w:val="none" w:sz="0" w:space="0" w:color="auto" w:frame="1"/>
        </w:rPr>
        <w:t> </w:t>
      </w:r>
      <w:r>
        <w:rPr>
          <w:rFonts w:ascii="Trebuchet MS" w:hAnsi="Trebuchet MS"/>
          <w:i/>
          <w:iCs/>
          <w:color w:val="333333"/>
          <w:sz w:val="22"/>
          <w:szCs w:val="22"/>
          <w:bdr w:val="none" w:sz="0" w:space="0" w:color="auto" w:frame="1"/>
        </w:rPr>
        <w:t>Anatomie comparée du système nerveux,</w:t>
      </w:r>
      <w:r>
        <w:rPr>
          <w:rStyle w:val="apple-converted-space"/>
          <w:rFonts w:ascii="Trebuchet MS" w:hAnsi="Trebuchet MS"/>
          <w:i/>
          <w:iCs/>
          <w:color w:val="333333"/>
          <w:sz w:val="22"/>
          <w:szCs w:val="22"/>
          <w:bdr w:val="none" w:sz="0" w:space="0" w:color="auto" w:frame="1"/>
        </w:rPr>
        <w:t> </w:t>
      </w:r>
      <w:r>
        <w:rPr>
          <w:rFonts w:ascii="Trebuchet MS" w:hAnsi="Trebuchet MS"/>
          <w:color w:val="333333"/>
          <w:sz w:val="22"/>
          <w:szCs w:val="22"/>
          <w:bdr w:val="none" w:sz="0" w:space="0" w:color="auto" w:frame="1"/>
        </w:rPr>
        <w:t xml:space="preserve">1839, t. I, p. 589). Or, </w:t>
      </w:r>
      <w:proofErr w:type="spellStart"/>
      <w:r>
        <w:rPr>
          <w:rFonts w:ascii="Trebuchet MS" w:hAnsi="Trebuchet MS"/>
          <w:color w:val="333333"/>
          <w:sz w:val="22"/>
          <w:szCs w:val="22"/>
          <w:bdr w:val="none" w:sz="0" w:space="0" w:color="auto" w:frame="1"/>
        </w:rPr>
        <w:t>Sœmmering</w:t>
      </w:r>
      <w:proofErr w:type="spellEnd"/>
      <w:r>
        <w:rPr>
          <w:rFonts w:ascii="Trebuchet MS" w:hAnsi="Trebuchet MS"/>
          <w:color w:val="333333"/>
          <w:sz w:val="22"/>
          <w:szCs w:val="22"/>
          <w:bdr w:val="none" w:sz="0" w:space="0" w:color="auto" w:frame="1"/>
        </w:rPr>
        <w:t xml:space="preserve"> a découvert, et les belles dissections de M. </w:t>
      </w:r>
      <w:proofErr w:type="spellStart"/>
      <w:r>
        <w:rPr>
          <w:rFonts w:ascii="Trebuchet MS" w:hAnsi="Trebuchet MS"/>
          <w:color w:val="333333"/>
          <w:sz w:val="22"/>
          <w:szCs w:val="22"/>
          <w:bdr w:val="none" w:sz="0" w:space="0" w:color="auto" w:frame="1"/>
        </w:rPr>
        <w:t>Jacquart</w:t>
      </w:r>
      <w:proofErr w:type="spellEnd"/>
      <w:r>
        <w:rPr>
          <w:rFonts w:ascii="Trebuchet MS" w:hAnsi="Trebuchet MS"/>
          <w:color w:val="333333"/>
          <w:sz w:val="22"/>
          <w:szCs w:val="22"/>
          <w:bdr w:val="none" w:sz="0" w:space="0" w:color="auto" w:frame="1"/>
        </w:rPr>
        <w:t xml:space="preserve"> ont pleinement confirmé que les nerfs, et surtout les nerfs crâniens, sont absolument moins gros chez les blancs que chez les nègres, d’où il résulte, selon toutes probabilités, que la partie non-intellectuelle du cerveau est plus volumineuse chez ces derniers. Cette circonstance aggrave encore la différence de 11 à 12 pour 100, qui a été constatée entre le volume des cerveaux éthiopiens et celui des cerveaux caucasiques, puisque le plus grand volume cérébral appartient précisément à la race qui devrait, à intelligence égale, avoir le plus petit cerveau. Mais faisons la concession d’admettre que la partie non intellectuelle du cerveau soit également développée dans les deux races. Qu’en résultera-t-il ? Que l’inégalité porte exclusivement sur l’organe proprement dit de la pensée, et une différence qui, répartie sur la masse totale, s’élève déjà à 11 ou 12 pour 100, s’élèverait à un chiffre beaucoup plus grand, s’il était possible de ne comparer entre elles que les couches de substance grise qui revêtent la circonvolution, et qui sont le </w:t>
      </w:r>
      <w:proofErr w:type="spellStart"/>
      <w:r>
        <w:rPr>
          <w:rFonts w:ascii="Trebuchet MS" w:hAnsi="Trebuchet MS"/>
          <w:color w:val="333333"/>
          <w:sz w:val="22"/>
          <w:szCs w:val="22"/>
          <w:bdr w:val="none" w:sz="0" w:space="0" w:color="auto" w:frame="1"/>
        </w:rPr>
        <w:t>siége</w:t>
      </w:r>
      <w:proofErr w:type="spellEnd"/>
      <w:r>
        <w:rPr>
          <w:rFonts w:ascii="Trebuchet MS" w:hAnsi="Trebuchet MS"/>
          <w:color w:val="333333"/>
          <w:sz w:val="22"/>
          <w:szCs w:val="22"/>
          <w:bdr w:val="none" w:sz="0" w:space="0" w:color="auto" w:frame="1"/>
        </w:rPr>
        <w:t xml:space="preserve"> spécial de l’intelligence.</w:t>
      </w:r>
    </w:p>
    <w:p w:rsidR="00E843C3" w:rsidRDefault="00E843C3" w:rsidP="00E843C3">
      <w:pPr>
        <w:pStyle w:val="gtxtbody"/>
        <w:shd w:val="clear" w:color="auto" w:fill="FFFFFF"/>
        <w:spacing w:before="0" w:beforeAutospacing="0" w:after="0" w:afterAutospacing="0"/>
        <w:jc w:val="both"/>
        <w:textAlignment w:val="baseline"/>
        <w:rPr>
          <w:rFonts w:ascii="Trebuchet MS" w:hAnsi="Trebuchet MS"/>
          <w:color w:val="333333"/>
          <w:sz w:val="22"/>
          <w:szCs w:val="22"/>
        </w:rPr>
      </w:pPr>
      <w:r>
        <w:rPr>
          <w:rFonts w:ascii="Trebuchet MS" w:hAnsi="Trebuchet MS"/>
          <w:color w:val="333333"/>
          <w:sz w:val="22"/>
          <w:szCs w:val="22"/>
          <w:bdr w:val="none" w:sz="0" w:space="0" w:color="auto" w:frame="1"/>
        </w:rPr>
        <w:t>Concluons donc en disant, pour les races comme pour</w:t>
      </w:r>
      <w:r>
        <w:rPr>
          <w:rStyle w:val="apple-converted-space"/>
          <w:rFonts w:ascii="Trebuchet MS" w:hAnsi="Trebuchet MS"/>
          <w:color w:val="333333"/>
          <w:sz w:val="22"/>
          <w:szCs w:val="22"/>
          <w:bdr w:val="none" w:sz="0" w:space="0" w:color="auto" w:frame="1"/>
        </w:rPr>
        <w:t> </w:t>
      </w:r>
      <w:r>
        <w:rPr>
          <w:rFonts w:ascii="Trebuchet MS" w:hAnsi="Trebuchet MS"/>
          <w:color w:val="333333"/>
          <w:sz w:val="22"/>
          <w:szCs w:val="22"/>
          <w:bdr w:val="none" w:sz="0" w:space="0" w:color="auto" w:frame="1"/>
        </w:rPr>
        <w:t>les individus, que les inégalités intellectuelles sont une des causes qui influent le plus sur le volume de l’encéphale, ou, en d’autres termes que,</w:t>
      </w:r>
      <w:r>
        <w:rPr>
          <w:rStyle w:val="apple-converted-space"/>
          <w:rFonts w:ascii="Trebuchet MS" w:hAnsi="Trebuchet MS"/>
          <w:color w:val="333333"/>
          <w:sz w:val="22"/>
          <w:szCs w:val="22"/>
          <w:bdr w:val="none" w:sz="0" w:space="0" w:color="auto" w:frame="1"/>
        </w:rPr>
        <w:t> </w:t>
      </w:r>
      <w:r>
        <w:rPr>
          <w:rFonts w:ascii="Trebuchet MS" w:hAnsi="Trebuchet MS"/>
          <w:i/>
          <w:iCs/>
          <w:color w:val="333333"/>
          <w:sz w:val="22"/>
          <w:szCs w:val="22"/>
          <w:bdr w:val="none" w:sz="0" w:space="0" w:color="auto" w:frame="1"/>
        </w:rPr>
        <w:t>toutes choses égales d’ailleurs,</w:t>
      </w:r>
      <w:r>
        <w:rPr>
          <w:rStyle w:val="apple-converted-space"/>
          <w:rFonts w:ascii="Trebuchet MS" w:hAnsi="Trebuchet MS"/>
          <w:i/>
          <w:iCs/>
          <w:color w:val="333333"/>
          <w:sz w:val="22"/>
          <w:szCs w:val="22"/>
          <w:bdr w:val="none" w:sz="0" w:space="0" w:color="auto" w:frame="1"/>
        </w:rPr>
        <w:t> </w:t>
      </w:r>
      <w:r>
        <w:rPr>
          <w:rFonts w:ascii="Trebuchet MS" w:hAnsi="Trebuchet MS"/>
          <w:color w:val="333333"/>
          <w:sz w:val="22"/>
          <w:szCs w:val="22"/>
          <w:bdr w:val="none" w:sz="0" w:space="0" w:color="auto" w:frame="1"/>
        </w:rPr>
        <w:t>il y a un rapport remarquable entre le développement de l’intelligence et le volume du cerveau</w:t>
      </w:r>
    </w:p>
    <w:p w:rsidR="00726D3F" w:rsidRDefault="00726D3F" w:rsidP="00E843C3">
      <w:pPr>
        <w:pStyle w:val="NormalWeb"/>
        <w:shd w:val="clear" w:color="auto" w:fill="FFFFFF"/>
        <w:spacing w:before="0" w:beforeAutospacing="0" w:after="0" w:afterAutospacing="0"/>
        <w:jc w:val="both"/>
        <w:textAlignment w:val="baseline"/>
      </w:pPr>
    </w:p>
    <w:sectPr w:rsidR="00726D3F" w:rsidSect="00726D3F">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2916" w:rsidRDefault="00E02916" w:rsidP="00E843C3">
      <w:pPr>
        <w:spacing w:after="0" w:line="240" w:lineRule="auto"/>
      </w:pPr>
      <w:r>
        <w:separator/>
      </w:r>
    </w:p>
  </w:endnote>
  <w:endnote w:type="continuationSeparator" w:id="0">
    <w:p w:rsidR="00E02916" w:rsidRDefault="00E02916" w:rsidP="00E843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63"/>
      <w:gridCol w:w="8325"/>
    </w:tblGrid>
    <w:tr w:rsidR="00E843C3">
      <w:tc>
        <w:tcPr>
          <w:tcW w:w="918" w:type="dxa"/>
        </w:tcPr>
        <w:p w:rsidR="00E843C3" w:rsidRDefault="00E843C3">
          <w:pPr>
            <w:pStyle w:val="Pieddepage"/>
            <w:jc w:val="right"/>
            <w:rPr>
              <w:b/>
              <w:color w:val="5B9BD5" w:themeColor="accent1"/>
              <w:sz w:val="32"/>
              <w:szCs w:val="32"/>
            </w:rPr>
          </w:pPr>
          <w:fldSimple w:instr=" PAGE   \* MERGEFORMAT ">
            <w:r w:rsidRPr="00E843C3">
              <w:rPr>
                <w:b/>
                <w:noProof/>
                <w:color w:val="5B9BD5" w:themeColor="accent1"/>
                <w:sz w:val="32"/>
                <w:szCs w:val="32"/>
              </w:rPr>
              <w:t>1</w:t>
            </w:r>
          </w:fldSimple>
        </w:p>
      </w:tc>
      <w:tc>
        <w:tcPr>
          <w:tcW w:w="7938" w:type="dxa"/>
        </w:tcPr>
        <w:p w:rsidR="00E843C3" w:rsidRDefault="00E843C3">
          <w:pPr>
            <w:pStyle w:val="Pieddepage"/>
          </w:pPr>
        </w:p>
      </w:tc>
    </w:tr>
  </w:tbl>
  <w:p w:rsidR="00E843C3" w:rsidRDefault="00E843C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2916" w:rsidRDefault="00E02916" w:rsidP="00E843C3">
      <w:pPr>
        <w:spacing w:after="0" w:line="240" w:lineRule="auto"/>
      </w:pPr>
      <w:r>
        <w:separator/>
      </w:r>
    </w:p>
  </w:footnote>
  <w:footnote w:type="continuationSeparator" w:id="0">
    <w:p w:rsidR="00E02916" w:rsidRDefault="00E02916" w:rsidP="00E843C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E843C3"/>
    <w:rsid w:val="00726D3F"/>
    <w:rsid w:val="0088049B"/>
    <w:rsid w:val="00E02916"/>
    <w:rsid w:val="00E843C3"/>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D3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E843C3"/>
    <w:pPr>
      <w:spacing w:before="100" w:beforeAutospacing="1" w:after="100" w:afterAutospacing="1" w:line="240" w:lineRule="auto"/>
    </w:pPr>
    <w:rPr>
      <w:rFonts w:ascii="Times New Roman" w:eastAsia="Times New Roman" w:hAnsi="Times New Roman" w:cs="Times New Roman"/>
      <w:sz w:val="24"/>
      <w:szCs w:val="24"/>
      <w:lang w:eastAsia="fr-CH"/>
    </w:rPr>
  </w:style>
  <w:style w:type="character" w:customStyle="1" w:styleId="apple-converted-space">
    <w:name w:val="apple-converted-space"/>
    <w:basedOn w:val="Policepardfaut"/>
    <w:rsid w:val="00E843C3"/>
  </w:style>
  <w:style w:type="paragraph" w:customStyle="1" w:styleId="gtxtbody">
    <w:name w:val="gtxt_body"/>
    <w:basedOn w:val="Normal"/>
    <w:rsid w:val="00E843C3"/>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styleId="En-tte">
    <w:name w:val="header"/>
    <w:basedOn w:val="Normal"/>
    <w:link w:val="En-tteCar"/>
    <w:uiPriority w:val="99"/>
    <w:semiHidden/>
    <w:unhideWhenUsed/>
    <w:rsid w:val="00E843C3"/>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E843C3"/>
  </w:style>
  <w:style w:type="paragraph" w:styleId="Pieddepage">
    <w:name w:val="footer"/>
    <w:basedOn w:val="Normal"/>
    <w:link w:val="PieddepageCar"/>
    <w:uiPriority w:val="99"/>
    <w:unhideWhenUsed/>
    <w:rsid w:val="00E843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43C3"/>
  </w:style>
  <w:style w:type="character" w:styleId="Lienhypertexte">
    <w:name w:val="Hyperlink"/>
    <w:basedOn w:val="Policepardfaut"/>
    <w:uiPriority w:val="99"/>
    <w:unhideWhenUsed/>
    <w:rsid w:val="00E843C3"/>
    <w:rPr>
      <w:color w:val="0563C1" w:themeColor="hyperlink"/>
      <w:u w:val="single"/>
    </w:rPr>
  </w:style>
  <w:style w:type="paragraph" w:customStyle="1" w:styleId="flow">
    <w:name w:val="flow"/>
    <w:basedOn w:val="Normal"/>
    <w:rsid w:val="00E843C3"/>
    <w:pPr>
      <w:spacing w:before="100" w:beforeAutospacing="1" w:after="100" w:afterAutospacing="1" w:line="240" w:lineRule="auto"/>
    </w:pPr>
    <w:rPr>
      <w:rFonts w:ascii="Times New Roman" w:eastAsia="Times New Roman" w:hAnsi="Times New Roman" w:cs="Times New Roman"/>
      <w:sz w:val="24"/>
      <w:szCs w:val="24"/>
      <w:lang w:eastAsia="fr-CH"/>
    </w:rPr>
  </w:style>
</w:styles>
</file>

<file path=word/webSettings.xml><?xml version="1.0" encoding="utf-8"?>
<w:webSettings xmlns:r="http://schemas.openxmlformats.org/officeDocument/2006/relationships" xmlns:w="http://schemas.openxmlformats.org/wordprocessingml/2006/main">
  <w:divs>
    <w:div w:id="135997058">
      <w:bodyDiv w:val="1"/>
      <w:marLeft w:val="0"/>
      <w:marRight w:val="0"/>
      <w:marTop w:val="0"/>
      <w:marBottom w:val="0"/>
      <w:divBdr>
        <w:top w:val="none" w:sz="0" w:space="0" w:color="auto"/>
        <w:left w:val="none" w:sz="0" w:space="0" w:color="auto"/>
        <w:bottom w:val="none" w:sz="0" w:space="0" w:color="auto"/>
        <w:right w:val="none" w:sz="0" w:space="0" w:color="auto"/>
      </w:divBdr>
    </w:div>
    <w:div w:id="30744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5</Pages>
  <Words>2903</Words>
  <Characters>15971</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dc:creator>
  <cp:lastModifiedBy>SEVEN</cp:lastModifiedBy>
  <cp:revision>1</cp:revision>
  <dcterms:created xsi:type="dcterms:W3CDTF">2016-10-30T11:37:00Z</dcterms:created>
  <dcterms:modified xsi:type="dcterms:W3CDTF">2016-10-30T17:14:00Z</dcterms:modified>
</cp:coreProperties>
</file>